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0"/>
      </w:pPr>
      <w:r>
        <w:rPr>
          <w:b w:val="0"/>
          <w:i w:val="0"/>
        </w:rPr>
        <w:t>{%p if schedules %}</w:t>
      </w:r>
    </w:p>
    <w:p>
      <w:pPr>
        <w:spacing w:after="0"/>
      </w:pPr>
      <w:r>
        <w:rPr>
          <w:b w:val="0"/>
          <w:i w:val="0"/>
        </w:rPr>
        <w:t>{%p for s in schedules %}</w:t>
      </w:r>
    </w:p>
    <w:p>
      <w:pPr>
        <w:spacing w:after="80"/>
      </w:pPr>
      <w:r>
        <w:rPr>
          <w:b/>
          <w:i w:val="0"/>
        </w:rPr>
        <w:t>Schedule {{ loop.index }} of {{ schedules|length }} ({{ s.source }})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District: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Taluka: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Hobli: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Village: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s.district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s.taluk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s.hobli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s.village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Sy.No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Site Area ({{ s.area_unit }})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Builtup Area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North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South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East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West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s.survey_no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s.site_area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s.builtup_area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s.north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s.south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s.east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s.west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Owner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s.owner_name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Usage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s.property_usage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First Sale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s.first_sale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Local Body Limits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s.local_body_limit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Market Value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s.market_value }}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Property Number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Current Number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s.property_number_type }}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RDPR PID {{ s.pid }}</w:t>
      </w:r>
    </w:p>
    <w:p>
      <w:pPr>
        <w:spacing w:after="0"/>
      </w:pPr>
      <w:r>
        <w:rPr>
          <w:b/>
          <w:i w:val="0"/>
        </w:rPr>
        <w:t>Description:</w:t>
      </w:r>
    </w:p>
    <w:p>
      <w:pPr>
        <w:spacing w:after="80"/>
        <w:jc w:val="both"/>
      </w:pPr>
      <w:r>
        <w:rPr>
          <w:b w:val="0"/>
          <w:i w:val="0"/>
        </w:rPr>
        <w:t>{{ s.description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else %}</w:t>
      </w:r>
    </w:p>
    <w:p>
      <w:pPr>
        <w:spacing w:after="80"/>
      </w:pPr>
      <w:r>
        <w:rPr>
          <w:b w:val="0"/>
          <w:i/>
        </w:rPr>
        <w:t>No property schedule is annexed to this instrument.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'Indemnifier', which expression shall include heirs, legal representatives and assigns) in favour of {{ claimant_names }} (hereinafter called the 'Indemnified',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Subject of indemnity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indemnity_subject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Indemnity amount / limit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indemnity_amount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Indemnifier shall indemnify and keep indemnified the Indemnified against all losses, claims and costs arising out of {{ indemnity_subject }} up to Rs. {{ indemnity_amount }}.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+ 1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