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Master / Shipper', which expression shall include heirs, legal representatives and assigns) in favour of {{ claimant_names }} (hereinafter called the 'Charterer / Lender / Consignee',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Vessel name &amp; registry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vessel_name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Voyage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voyage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/ loan / insured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freight_or_amount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cargo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This {{ instrument_subtype }} relates to vessel {{ vessel_name }} for the voyage / period {{ voyage }} for Rs. {{ freight_or_amount }}; cargo: {{ goods_description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