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'Seller / Promoter / Land Owner', which expression shall include heirs, legal representatives and assigns) in favour of {{ claimant_names }} (hereinafter called the 'Purchaser',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Seller has constructed a residential apartment building known as '{{ apartment_name }}' on the land described in the Schedule (RERA No. {{ rera_registration_no }});</w:t>
      </w:r>
    </w:p>
    <w:p>
      <w:pPr>
        <w:spacing w:after="80"/>
        <w:jc w:val="both"/>
      </w:pPr>
      <w:r>
        <w:rPr>
          <w:b w:val="0"/>
          <w:i w:val="0"/>
        </w:rPr>
        <w:t>AND WHEREAS the Purchaser has agreed to purchase Flat No. {{ flat_no }} on the {{ floor }} measuring {{ super_builtup_area }} sq.ft super built-up ({{ carpet_area }} sq.ft carpet) together with {{ uds_area }} sq.ft undivided share in the land and {{ car_parking }} car parking;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Apartment / project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apartment_name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Flat / unit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flat_no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Floor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floor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Block / tower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block_tower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Super built-up area (sq.ft)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super_builtup_area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Carpet area (sq.ft) (RERA)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carpet_area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Undivided share of land (sq.ft)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uds_area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Car parking (no. / type)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car_parking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RERA project registration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rera_registration_no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Occupancy / completion certificate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oc_reference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Declaration under Karnataka Apartment Ownership Act registered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kaoa_declaration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Total sale consideration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sale_consideration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delivery of possession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possession_date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consideration of Rs. {{ sale_consideration }} paid by the Purchaser, the Seller hereby conveys the said flat together with the undivided share in the land, common areas and amenities to the Purchaser absolutely.</w:t>
      </w:r>
    </w:p>
    <w:p>
      <w:pPr>
        <w:spacing w:after="80"/>
        <w:jc w:val="both"/>
      </w:pPr>
      <w:r>
        <w:rPr>
          <w:b w:val="0"/>
          <w:i w:val="0"/>
        </w:rPr>
        <w:t>2. Possession of the flat has been delivered to the Purchaser on {{ possession_date }}.</w:t>
      </w:r>
    </w:p>
    <w:p>
      <w:pPr>
        <w:spacing w:after="80"/>
        <w:jc w:val="both"/>
      </w:pPr>
      <w:r>
        <w:rPr>
          <w:b w:val="0"/>
          <w:i w:val="0"/>
        </w:rPr>
        <w:t>3. The Purchaser shall become a member of the apartment owners' association and pay proportionate maintenance charges and taxes from the date of possession.</w:t>
      </w:r>
    </w:p>
    <w:p>
      <w:pPr>
        <w:spacing w:after="80"/>
        <w:jc w:val="both"/>
      </w:pPr>
      <w:r>
        <w:rPr>
          <w:b w:val="0"/>
          <w:i w:val="0"/>
        </w:rPr>
        <w:t>4. The Purchaser shall not make structural alterations affecting the building or common areas.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