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 w:val="0"/>
          <w:i/>
        </w:rPr>
        <w:t>Not applicable - this instrument does not convey or affect a scheduled property.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'Transferor (DRC holder)', which expression shall include heirs, legal representatives and assigns) in favour of {{ claimant_names }} (hereinafter called the 'Transferee',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WHEREAS the Transferor holds DRC No. {{ drc_number }} dated {{ drc_issue_date }} issued by {{ issuing_authority }};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Development Rights Certificate (DRC) no.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drc_number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DRC issue date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drc_issue_date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Issuing authority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issuing_authority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TDR area transferred (sq.ft / sq.m)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tdr_area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of TDR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tdr_value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Zone of utilisation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utilisation_zone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Transferor transfers {{ tdr_area }} of development rights under the said DRC to the Transferee for the consideration stated in Part III.</w:t>
      </w:r>
    </w:p>
    <w:p>
      <w:pPr>
        <w:spacing w:after="80"/>
        <w:jc w:val="both"/>
      </w:pPr>
      <w:r>
        <w:rPr>
          <w:b w:val="0"/>
          <w:i w:val="0"/>
        </w:rPr>
        <w:t>2. The Transferee shall get the transfer endorsed by {{ issuing_authority }} and may utilise the TDR in {{ utilisation_zone }} as per applicable zoning regulations.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