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'Seller', which expression shall include heirs, legal representatives and assigns) in favour of {{ claimant_names }} (hereinafter called the 'Buyer',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Seller has agreed to sell and the Buyer has agreed to buy the goods described in the Schedule;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delivery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Delivery date /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Price basis / Incoterm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price_basis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Warranty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warranty_period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Inspection / acceptance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inspection_terms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Seller shall deliver the goods at {{ delivery_place }} on or before {{ delivery_date }} on {{ price_basis }} basis.</w:t>
      </w:r>
    </w:p>
    <w:p>
      <w:pPr>
        <w:spacing w:after="80"/>
        <w:jc w:val="both"/>
      </w:pPr>
      <w:r>
        <w:rPr>
          <w:b w:val="0"/>
          <w:i w:val="0"/>
        </w:rPr>
        <w:t>2. Property and risk in the goods shall pass to the Buyer on delivery and acceptance; inspection: {{ inspection_terms }}.</w:t>
      </w:r>
    </w:p>
    <w:p>
      <w:pPr>
        <w:spacing w:after="80"/>
        <w:jc w:val="both"/>
      </w:pPr>
      <w:r>
        <w:rPr>
          <w:b w:val="0"/>
          <w:i w:val="0"/>
        </w:rPr>
        <w:t>3. The Seller warrants the goods for {{ warranty_period }} against manufacturing defects.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