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'Donor', which expression shall include heirs, legal representatives and assigns) in favour of {{ claimant_names }} (hereinafter called the 'Donee',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Donor desires to gift the movable property described in the Schedule to the Donee, who is the {{ relationship }} of the Donor;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donee to donor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Donee has accepted the gift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donee_acceptance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of delivery of gifted items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delivery_mode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(education, marriage etc.)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purpose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Donor hereby gifts the movable property in the Schedule to the Donee absolutely, for the purpose of {{ purpose }}.</w:t>
      </w:r>
    </w:p>
    <w:p>
      <w:pPr>
        <w:spacing w:after="80"/>
        <w:jc w:val="both"/>
      </w:pPr>
      <w:r>
        <w:rPr>
          <w:b w:val="0"/>
          <w:i w:val="0"/>
        </w:rPr>
        <w:t>2. The gifted property has been delivered by {{ delivery_mode }} and the Donee has accepted it ({{ donee_acceptance }}).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