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'Co-owner / Coparcener', which expression shall include heirs, legal representatives and assigns) in favour of {{ claimant_names }} (hereinafter called the 'Co-owner / Coparcener',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parties are members of the {{ joint_family_name }} and jointly own the properties described in the Schedules;</w:t>
      </w:r>
    </w:p>
    <w:p>
      <w:pPr>
        <w:spacing w:after="80"/>
        <w:jc w:val="both"/>
      </w:pPr>
      <w:r>
        <w:rPr>
          <w:b w:val="0"/>
          <w:i w:val="0"/>
        </w:rPr>
        <w:t>AND WHEREAS the parties have decided to divide the said properties by metes and bounds;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Joint family / co-ownership description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joint_family_name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Owelty / equalisation money paid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owelty_amount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earlier oral partition (if recorded)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oral_partition_date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Allotments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Member / sharer name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Schedule allotted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of share (Rs.)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al in allotments %}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al.member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al.schedule_ref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al.share_value }}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properties are divided and allotted as per the Allotment table above, each party taking the schedule allotted to the exclusion of the others.</w:t>
      </w:r>
    </w:p>
    <w:p>
      <w:pPr>
        <w:spacing w:after="80"/>
        <w:jc w:val="both"/>
      </w:pPr>
      <w:r>
        <w:rPr>
          <w:b w:val="0"/>
          <w:i w:val="0"/>
        </w:rPr>
        <w:t>2. To equalise the shares, an owelty amount of Rs. {{ owelty_amount }} has been paid.</w:t>
      </w:r>
    </w:p>
    <w:p>
      <w:pPr>
        <w:spacing w:after="80"/>
        <w:jc w:val="both"/>
      </w:pPr>
      <w:r>
        <w:rPr>
          <w:b w:val="0"/>
          <w:i w:val="0"/>
        </w:rPr>
        <w:t>3. Each party shall get khata / RTC mutated to his / her name for the property allotted.</w:t>
      </w:r>
    </w:p>
    <w:p>
      <w:pPr>
        <w:spacing w:after="80"/>
        <w:jc w:val="both"/>
      </w:pPr>
      <w:r>
        <w:rPr>
          <w:b w:val="0"/>
          <w:i w:val="0"/>
        </w:rPr>
        <w:t>4. The parties release all their rights in the properties allotted to the other parties.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+ 4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