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'Pledger / Pawnor', which expression shall include heirs, legal representatives and assigns) in favour of {{ claimant_names }} (hereinafter called the 'Pledgee / Pawnee',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for redemption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redemption_period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Pledger delivers the goods in the Schedule to the Pledgee as security for Rs. {{ loan_amount }} with interest at {{ interest_rate }}% p.a., redeemable within {{ redemption_period }}.</w:t>
      </w:r>
    </w:p>
    <w:p>
      <w:pPr>
        <w:spacing w:after="80"/>
        <w:jc w:val="both"/>
      </w:pPr>
      <w:r>
        <w:rPr>
          <w:b w:val="0"/>
          <w:i w:val="0"/>
        </w:rPr>
        <w:t>2. On default, the Pledgee may sell the pledged goods after reasonable notice under Sec 176 of the Indian Contract Act, 1872.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