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'Grantor (servient owner)', which expression shall include heirs, legal representatives and assigns) in favour of {{ claimant_names }} (hereinafter called the 'Grantee (dominant owner)',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Dominant heritage (grantee's property)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dominant_property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Extent / route of easement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easement_dimensions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easement_period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Grantor grants to the Grantee, as owner of {{ dominant_property }}, the easement of {{ instrument_subtype }} over {{ easement_dimensions }} in the Schedule Property for {{ easement_period }}.</w:t>
      </w:r>
    </w:p>
    <w:p>
      <w:pPr>
        <w:spacing w:after="80"/>
        <w:jc w:val="both"/>
      </w:pPr>
      <w:r>
        <w:rPr>
          <w:b w:val="0"/>
          <w:i w:val="0"/>
        </w:rPr>
        <w:t>2. The Grantee shall maintain the easement area at his cost and shall not cause damage to the servient property.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