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'Lessor', which expression shall include heirs, legal representatives and assigns) in favour of {{ claimant_names }} (hereinafter called the 'Lessee',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Lessor is the owner of the Schedule Property and has agreed to lease the same to the Lessee for {{ lease_purpose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Lease period (months / years)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Commencement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Monthly rent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monthly_rent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Rent payable on or before (day of month)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rent_due_day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deposit / advance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Premium / fine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premium_fine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Rent escalation (% per renewal / year)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escalation_percent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of lease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lease_purpose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Lock-in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lock_in_period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 for termination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Maintenance / electricity / water charges borne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maintenance_by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Lessor demises the Schedule Property to the Lessee for {{ lease_period }} commencing from {{ lease_start_date }}.</w:t>
      </w:r>
    </w:p>
    <w:p>
      <w:pPr>
        <w:spacing w:after="80"/>
        <w:jc w:val="both"/>
      </w:pPr>
      <w:r>
        <w:rPr>
          <w:b w:val="0"/>
          <w:i w:val="0"/>
        </w:rPr>
        <w:t>2. The Lessee shall pay a monthly rent of Rs. {{ monthly_rent }} on or before the {{ rent_due_day }} day of every month; rent shall be enhanced by {{ escalation_percent }}% as agreed.</w:t>
      </w:r>
    </w:p>
    <w:p>
      <w:pPr>
        <w:spacing w:after="80"/>
        <w:jc w:val="both"/>
      </w:pPr>
      <w:r>
        <w:rPr>
          <w:b w:val="0"/>
          <w:i w:val="0"/>
        </w:rPr>
        <w:t>3. The Lessee has paid an interest-free security deposit of Rs. {{ security_deposit }}, refundable on vacating after deduction of dues.</w:t>
      </w:r>
    </w:p>
    <w:p>
      <w:pPr>
        <w:spacing w:after="80"/>
        <w:jc w:val="both"/>
      </w:pPr>
      <w:r>
        <w:rPr>
          <w:b w:val="0"/>
          <w:i w:val="0"/>
        </w:rPr>
        <w:t>4. Charges for maintenance, electricity and water shall be borne by the {{ maintenance_by }}.</w:t>
      </w:r>
    </w:p>
    <w:p>
      <w:pPr>
        <w:spacing w:after="80"/>
        <w:jc w:val="both"/>
      </w:pPr>
      <w:r>
        <w:rPr>
          <w:b w:val="0"/>
          <w:i w:val="0"/>
        </w:rPr>
        <w:t>5. Either party may terminate the lease by giving {{ notice_period }} notice in writing, subject to a lock-in of {{ lock_in_period }}.</w:t>
      </w:r>
    </w:p>
    <w:p>
      <w:pPr>
        <w:spacing w:after="80"/>
        <w:jc w:val="both"/>
      </w:pPr>
      <w:r>
        <w:rPr>
          <w:b w:val="0"/>
          <w:i w:val="0"/>
        </w:rPr>
        <w:t>6. The Lessee shall not sub-let or make structural alterations without the Lessor's written consent and shall hand over vacant possession on expiry.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+ 6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