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'Lessee / Tenant', which expression shall include heirs, legal representatives and assigns) in favour of {{ claimant_names }} (hereinafter called the 'Lessor / Landlord',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lease (doc no. /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 of surrender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surrender_date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Deposit refunded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deposit_refunded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Scope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surrender_scope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Lessee surrenders the lease {{ lease_reference }} ({{ surrender_scope }}) with effect from {{ surrender_date }} and has delivered vacant possession.</w:t>
      </w:r>
    </w:p>
    <w:p>
      <w:pPr>
        <w:spacing w:after="80"/>
        <w:jc w:val="both"/>
      </w:pPr>
      <w:r>
        <w:rPr>
          <w:b w:val="0"/>
          <w:i w:val="0"/>
        </w:rPr>
        <w:t>2. The Lessor has refunded the deposit of Rs. {{ deposit_refunded }}; neither party has any further claim.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