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'Giver (natural parent / guardian / orphanage)', which expression shall include heirs, legal representatives and assigns) in favour of {{ claimant_names }} (hereinafter called the 'Adoptive parent',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 date of birth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child_dob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 gender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child_gender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giving and taking ceremony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ceremony_date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Consent of spouse obtained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spouse_consent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Governing law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governing_law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CARA order reference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court_order_reference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Giver gave and the Adoptive parent took {{ child_name }} (born {{ child_dob }}) in adoption on {{ ceremony_date }} under the {{ governing_law }}.</w:t>
      </w:r>
    </w:p>
    <w:p>
      <w:pPr>
        <w:spacing w:after="80"/>
        <w:jc w:val="both"/>
      </w:pPr>
      <w:r>
        <w:rPr>
          <w:b w:val="0"/>
          <w:i w:val="0"/>
        </w:rPr>
        <w:t>2. Consent of spouse: {{ spouse_consent }}. The child shall be deemed the child of the adoptive parent for all purposes with effect from the date of adoption.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