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if schedules %}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else %}</w:t>
      </w:r>
    </w:p>
    <w:p>
      <w:pPr>
        <w:spacing w:after="80"/>
      </w:pPr>
      <w:r>
        <w:rPr>
          <w:b w:val="0"/>
          <w:i/>
        </w:rPr>
        <w:t>No property schedule is annexed to this instrument.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'Existing Trustee / Appointor', which expression shall include heirs, legal representatives and assigns) in favour of {{ claimant_names }} (hereinafter called the 'New Trustee',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Name of trust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trust_name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Original trust deed reference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trust_deed_reference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Reason for vacancy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vacancy_reason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Trust property vested in new trustee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property_vested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In exercise of the power under trust deed {{ trust_deed_reference }}, the Appointor appoints the New Trustee as trustee of {{ trust_name }} in place of the vacancy caused by {{ vacancy_reason }}.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+ 1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