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'Partner', which expression shall include heirs, legal representatives and assigns) in favour of {{ claimant_names }} (hereinafter called the 'Partner',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Firm / LLP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firm_name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Nature of business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business_nature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Principal place of business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principal_place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commencement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commencement_date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duration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on capital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interest_on_capital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Bank account operated by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bank_operation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Capital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Partner name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Capital contribution (Rs.)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Profit / loss share (%)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cp in capital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cp.partner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cp.capital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cp.profit_share }}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carry on business in partnership under the name {{ firm_name }} as {{ business_nature }} at {{ principal_place }} from {{ commencement_date }}; duration: {{ duration }}.</w:t>
      </w:r>
    </w:p>
    <w:p>
      <w:pPr>
        <w:spacing w:after="80"/>
        <w:jc w:val="both"/>
      </w:pPr>
      <w:r>
        <w:rPr>
          <w:b w:val="0"/>
          <w:i w:val="0"/>
        </w:rPr>
        <w:t>2. Capital and profit sharing shall be as per the Capital table above; interest on capital: {{ interest_on_capital }}%.</w:t>
      </w:r>
    </w:p>
    <w:p>
      <w:pPr>
        <w:spacing w:after="80"/>
        <w:jc w:val="both"/>
      </w:pPr>
      <w:r>
        <w:rPr>
          <w:b w:val="0"/>
          <w:i w:val="0"/>
        </w:rPr>
        <w:t>3. Bank accounts shall be operated by {{ bank_operation }}.</w:t>
      </w:r>
    </w:p>
    <w:p>
      <w:pPr>
        <w:spacing w:after="80"/>
        <w:jc w:val="both"/>
      </w:pPr>
      <w:r>
        <w:rPr>
          <w:b w:val="0"/>
          <w:i w:val="0"/>
        </w:rPr>
        <w:t>4. Proper books of account shall be maintained and closed on 31st March every year.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+ 4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