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'Partner', which expression shall include heirs, legal representatives and assigns) in favour of {{ claimant_names }} (hereinafter called the 'Partner',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Firm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firm_name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dissolution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dissolution_date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Assets &amp; liabilities taken over by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assets_taken_by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Business continued by some partners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business_continued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partnership {{ firm_name }} stands dissolved with effect from {{ dissolution_date }}.</w:t>
      </w:r>
    </w:p>
    <w:p>
      <w:pPr>
        <w:spacing w:after="80"/>
        <w:jc w:val="both"/>
      </w:pPr>
      <w:r>
        <w:rPr>
          <w:b w:val="0"/>
          <w:i w:val="0"/>
        </w:rPr>
        <w:t>2. Assets and liabilities are taken over by {{ assets_taken_by }}, who shall indemnify the other partners.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