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'Borrower', which expression shall include heirs, legal representatives and assigns) in favour of {{ claimant_names }} (hereinafter called the 'Lender',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Tenure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tenure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EMI / instalment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emi_amount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offered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Lender lends Rs. {{ loan_amount }} to the Borrower at {{ interest_rate }}% p.a. repayable over {{ tenure }} in instalments of Rs. {{ emi_amount }}.</w:t>
      </w:r>
    </w:p>
    <w:p>
      <w:pPr>
        <w:spacing w:after="80"/>
        <w:jc w:val="both"/>
      </w:pPr>
      <w:r>
        <w:rPr>
          <w:b w:val="0"/>
          <w:i w:val="0"/>
        </w:rPr>
        <w:t>2. Security: {{ security_description }}. On default, the entire outstanding becomes payable forthwith.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