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'First Party', which expression shall include heirs, legal representatives and assigns) in favour of {{ claimant_names }} (hereinafter called the 'Second Party',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Dispute referred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dispute_description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Arbitrator(s)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arbitrator_names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Seat / venue of arbitration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seat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Time for award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award_period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parties refer {{ dispute_description }} to arbitration by {{ arbitrator_names }} under the Arbitration and Conciliation Act, 1996, seated at {{ seat }}.</w:t>
      </w:r>
    </w:p>
    <w:p>
      <w:pPr>
        <w:spacing w:after="80"/>
        <w:jc w:val="both"/>
      </w:pPr>
      <w:r>
        <w:rPr>
          <w:b w:val="0"/>
          <w:i w:val="0"/>
        </w:rPr>
        <w:t>2. The award shall be made within {{ award_period }} and shall be final and binding.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