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Registration / application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ip_registration_no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Class / description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ip_class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Assignor assigns all rights in {{ instrument_subtype }} No. {{ ip_registration_no }} ({{ ip_class }}) for {{ territory }} to the Assignee; royalty: {{ royalty }}.</w:t>
      </w:r>
    </w:p>
    <w:p>
      <w:pPr>
        <w:spacing w:after="80"/>
        <w:jc w:val="both"/>
      </w:pPr>
      <w:r>
        <w:rPr>
          <w:b w:val="0"/>
          <w:i w:val="0"/>
        </w:rPr>
        <w:t>2. The Assignor shall sign all documents required for recordal with the Registrar.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