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'Executant', which expression shall include heirs, legal representatives and assigns) in favour of {{ claimant_names }} (hereinafter called the 'Claimant',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cancelled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instrument_cancelled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Reason for cancellation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cancellation_reason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refunded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refund_amount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cancel the instrument {{ instrument_cancelled }} for the reason: {{ cancellation_reason }}.</w:t>
      </w:r>
    </w:p>
    <w:p>
      <w:pPr>
        <w:spacing w:after="80"/>
        <w:jc w:val="both"/>
      </w:pPr>
      <w:r>
        <w:rPr>
          <w:b w:val="0"/>
          <w:i w:val="0"/>
        </w:rPr>
        <w:t>2. Amount refunded: Rs. {{ refund_amount }}. The parties are restored to their original positions.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