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'Executant (original)', which expression shall include heirs, legal representatives and assigns) in favour of {{ claimant_names }} (hereinafter called the 'Claimant (original)',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instrument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original_instrument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Error / existing 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error_description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Corrected / new 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corrected_text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the instrument {{ original_instrument }}, '{{ error_description }}' shall be read as '{{ corrected_text }}'.</w:t>
      </w:r>
    </w:p>
    <w:p>
      <w:pPr>
        <w:spacing w:after="80"/>
        <w:jc w:val="both"/>
      </w:pPr>
      <w:r>
        <w:rPr>
          <w:b w:val="0"/>
          <w:i w:val="0"/>
        </w:rPr>
        <w:t>2. All other terms of the original instrument remain unaltered.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