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NOTE FOR APPROVAL / ACTION</w:t>
      </w:r>
    </w:p>
    <w:p>
      <w:pPr>
        <w:jc w:val="center"/>
      </w:pPr>
      <w:r>
        <w:rPr>
          <w:b/>
          <w:sz w:val="24"/>
        </w:rPr>
        <w:t>Co-location of New Kaveri IT Cell at Centre for Smart Governance (CSG) Premises</w:t>
      </w:r>
    </w:p>
    <w:p>
      <w:r>
        <w:rPr>
          <w:b/>
        </w:rPr>
        <w:t>From:</w:t>
        <w:tab/>
      </w:r>
      <w:r>
        <w:t>New Kaveri IT Cell</w:t>
      </w:r>
    </w:p>
    <w:p>
      <w:r>
        <w:rPr>
          <w:b/>
        </w:rPr>
        <w:t>To:</w:t>
        <w:tab/>
        <w:tab/>
      </w:r>
      <w:r>
        <w:t>The Inspector General of Registration (IGR), Karnataka</w:t>
      </w:r>
    </w:p>
    <w:p>
      <w:r>
        <w:rPr>
          <w:b/>
        </w:rPr>
        <w:t>Through:</w:t>
        <w:tab/>
      </w:r>
      <w:r>
        <w:t>[KPMU / Project Authority — as applicable]</w:t>
      </w:r>
    </w:p>
    <w:p>
      <w:r>
        <w:rPr>
          <w:b/>
        </w:rPr>
        <w:t>Subject:</w:t>
        <w:tab/>
      </w:r>
      <w:r>
        <w:t>Request for seating space, IT infrastructure, source-code access and identical Kaveri 2.0 development environment at CSG premises to commence Knowledge Transfer — starting with code walkthrough</w:t>
      </w:r>
    </w:p>
    <w:p>
      <w:r>
        <w:rPr>
          <w:b/>
        </w:rPr>
        <w:t>Date:</w:t>
        <w:tab/>
        <w:tab/>
      </w:r>
      <w:r>
        <w:t>28 July 2026</w:t>
      </w:r>
    </w:p>
    <w:p>
      <w:r>
        <w:rPr>
          <w:b/>
        </w:rPr>
        <w:t>Ref:</w:t>
        <w:tab/>
        <w:tab/>
      </w:r>
      <w:r>
        <w:t>Kaveri IT Cell resource requirement (Total 39 posts); Kaveri 2.0 (CSG) to New Kaveri IT Cell transition / KT plan</w:t>
      </w:r>
    </w:p>
    <w:p/>
    <w:p>
      <w:r>
        <w:rPr>
          <w:b/>
        </w:rPr>
        <w:t>1. Background</w:t>
      </w:r>
    </w:p>
    <w:p>
      <w:r>
        <w:t>The New Kaveri IT Cell is being constituted to take over ownership, development, and operations support of the Kaveri application stack from the existing Kaveri 2.0 team housed at the Centre for Smart Governance (CSG). To enable a structured and time-bound Knowledge Transfer (KT) and to minimise disruption to ongoing citizen services, the IT Cell proposes to sit at CSG premises for the transition period.</w:t>
      </w:r>
    </w:p>
    <w:p>
      <w:r>
        <w:rPr>
          <w:b/>
        </w:rPr>
        <w:t>2. Purpose of this note</w:t>
      </w:r>
    </w:p>
    <w:p>
      <w:r>
        <w:t>Approval and necessary directions of IGR are sought to facilitate co-location of the New Kaveri IT Cell at CSG, with provision of seating, IT infrastructure, access to the Kaveri 2.0 code repository, and an identical non-production development environment, so that transition activities may commence with a structured code walkthrough.</w:t>
      </w:r>
    </w:p>
    <w:p>
      <w:r>
        <w:rPr>
          <w:b/>
        </w:rPr>
        <w:t>3. Request — facilities &amp; access required at CSG</w:t>
      </w:r>
    </w:p>
    <w:p>
      <w:r>
        <w:t>Kind approval is requested for the following arrangements to be extended by CSG (with SDC / DevOps support where applicable):</w:t>
      </w:r>
    </w:p>
    <w:p>
      <w:r>
        <w:rPr>
          <w:b/>
        </w:rPr>
        <w:t>Seating space:</w:t>
      </w:r>
    </w:p>
    <w:p>
      <w:pPr>
        <w:pStyle w:val="ListBullet"/>
      </w:pPr>
      <w:r>
        <w:t>Dedicated seating / work bays for New Kaveri IT Cell members co-located at CSG premises (Bangalore).</w:t>
      </w:r>
    </w:p>
    <w:p>
      <w:pPr>
        <w:pStyle w:val="ListBullet"/>
      </w:pPr>
      <w:r>
        <w:t>Provision to scale seating in phases as IT Cell resources join (sanctioned strength: 39 posts).</w:t>
      </w:r>
    </w:p>
    <w:p>
      <w:pPr>
        <w:pStyle w:val="ListBullet"/>
      </w:pPr>
      <w:r>
        <w:t>Meeting / KT room access for walkthroughs, demos, and daily stand-ups with CSG technical teams.</w:t>
      </w:r>
    </w:p>
    <w:p>
      <w:pPr>
        <w:pStyle w:val="ListBullet"/>
      </w:pPr>
      <w:r>
        <w:t>Named CSG single point of contact for facility and KT coordination.</w:t>
      </w:r>
    </w:p>
    <w:p>
      <w:r>
        <w:rPr>
          <w:b/>
        </w:rPr>
        <w:t>IT infrastructure:</w:t>
      </w:r>
    </w:p>
    <w:p>
      <w:pPr>
        <w:pStyle w:val="ListBullet"/>
      </w:pPr>
      <w:r>
        <w:t>Network connectivity, LAN / Wi-Fi, power, and printing facilities for IT Cell workstations.</w:t>
      </w:r>
    </w:p>
    <w:p>
      <w:pPr>
        <w:pStyle w:val="ListBullet"/>
      </w:pPr>
      <w:r>
        <w:t>VPN / VDI / bastion access as applicable for reaching non-production application, database, DevOps, logs, and monitoring systems.</w:t>
      </w:r>
    </w:p>
    <w:p>
      <w:pPr>
        <w:pStyle w:val="ListBullet"/>
      </w:pPr>
      <w:r>
        <w:t>User IDs / email / collaboration tools as required for official project work.</w:t>
      </w:r>
    </w:p>
    <w:p>
      <w:pPr>
        <w:pStyle w:val="ListBullet"/>
      </w:pPr>
      <w:r>
        <w:t>Access to non-production application URLs (Citizen, SR/Admin, reporting, support) for discovery and KT.</w:t>
      </w:r>
    </w:p>
    <w:p>
      <w:r>
        <w:rPr>
          <w:b/>
        </w:rPr>
        <w:t>Code repository:</w:t>
      </w:r>
    </w:p>
    <w:p>
      <w:pPr>
        <w:pStyle w:val="ListBullet"/>
      </w:pPr>
      <w:r>
        <w:t>Complete inventory of Kaveri 2.0 source repositories (UI, APIs, services, scripts, reports, DB scripts, pipelines).</w:t>
      </w:r>
    </w:p>
    <w:p>
      <w:pPr>
        <w:pStyle w:val="ListBullet"/>
      </w:pPr>
      <w:r>
        <w:t>Read access (initially) to all relevant repositories for named IT Cell members, with sample checkout validation.</w:t>
      </w:r>
    </w:p>
    <w:p>
      <w:pPr>
        <w:pStyle w:val="ListBullet"/>
      </w:pPr>
      <w:r>
        <w:t>Branching / release notes and build-deploy pointers needed to understand the current codebase.</w:t>
      </w:r>
    </w:p>
    <w:p>
      <w:pPr>
        <w:pStyle w:val="ListBullet"/>
      </w:pPr>
      <w:r>
        <w:t>Clear ownership and approval path for subsequent write / CI access as transition progresses.</w:t>
      </w:r>
    </w:p>
    <w:p>
      <w:r>
        <w:rPr>
          <w:b/>
        </w:rPr>
        <w:t>Identical Kaveri 2.0 development environment:</w:t>
      </w:r>
    </w:p>
    <w:p>
      <w:pPr>
        <w:pStyle w:val="ListBullet"/>
      </w:pPr>
      <w:r>
        <w:t>Provision of a development / non-production environment that is functionally identical to the current Kaveri 2.0 Dev (and related SIT / Staging as available) setup.</w:t>
      </w:r>
    </w:p>
    <w:p>
      <w:pPr>
        <w:pStyle w:val="ListBullet"/>
      </w:pPr>
      <w:r>
        <w:t>Environment should allow IT Cell to build, run, and debug the same application stack used by CSG developers.</w:t>
      </w:r>
    </w:p>
    <w:p>
      <w:pPr>
        <w:pStyle w:val="ListBullet"/>
      </w:pPr>
      <w:r>
        <w:t>Share environment matrix: Dev / SIT / Staging / Pre-Prod / Prod — URLs, purpose, owners, and access approvers.</w:t>
      </w:r>
    </w:p>
    <w:p>
      <w:pPr>
        <w:pStyle w:val="ListBullet"/>
      </w:pPr>
      <w:r>
        <w:t>DB schema read access (non-prod), configuration, secrets process, and dependency notes required to run the stack.</w:t>
      </w:r>
    </w:p>
    <w:p>
      <w:pPr>
        <w:pStyle w:val="ListBullet"/>
      </w:pPr>
      <w:r>
        <w:t>Confirmation that IT Cell can independently compile and run the application in this environment as evidence of readiness.</w:t>
      </w:r>
    </w:p>
    <w:p>
      <w:r>
        <w:rPr>
          <w:b/>
        </w:rPr>
        <w:t>4. Immediate next step — Code walkthrough</w:t>
      </w:r>
    </w:p>
    <w:p>
      <w:r>
        <w:t>Upon grant of seating and access, the New Kaveri IT Cell will commence transition with a structured code walkthrough as the first activity, covering:</w:t>
      </w:r>
    </w:p>
    <w:p>
      <w:pPr>
        <w:pStyle w:val="ListBullet"/>
      </w:pPr>
      <w:r>
        <w:t>Solution / module overview and repository map.</w:t>
      </w:r>
    </w:p>
    <w:p>
      <w:pPr>
        <w:pStyle w:val="ListBullet"/>
      </w:pPr>
      <w:r>
        <w:t>Application architecture, key services, and integration touchpoints.</w:t>
      </w:r>
    </w:p>
    <w:p>
      <w:pPr>
        <w:pStyle w:val="ListBullet"/>
      </w:pPr>
      <w:r>
        <w:t>Build, run, and local/non-prod debug flow.</w:t>
      </w:r>
    </w:p>
    <w:p>
      <w:pPr>
        <w:pStyle w:val="ListBullet"/>
      </w:pPr>
      <w:r>
        <w:t>Critical business modules (registration, documents, citizen, EC/CC, stamp, etc., as applicable).</w:t>
      </w:r>
    </w:p>
    <w:p>
      <w:pPr>
        <w:pStyle w:val="ListBullet"/>
      </w:pPr>
      <w:r>
        <w:t>Open Q&amp;A log and recording for subsequent KT sessions.</w:t>
      </w:r>
    </w:p>
    <w:p>
      <w:r>
        <w:t>CSG development / architecture leads are requested to schedule and conduct the walkthrough with IT Cell (Architecture, Tech Lead, Developers, DevOps, BA, Transition Expert) in attendance.</w:t>
      </w:r>
    </w:p>
    <w:p>
      <w:r>
        <w:rPr>
          <w:b/>
        </w:rPr>
        <w:t>5. Why co-location at CSG is necessary</w:t>
      </w:r>
    </w:p>
    <w:p>
      <w:pPr>
        <w:pStyle w:val="ListBullet"/>
      </w:pPr>
      <w:r>
        <w:t>Direct access to CSG knowledge holders for live walkthroughs and day-to-day clarification.</w:t>
      </w:r>
    </w:p>
    <w:p>
      <w:pPr>
        <w:pStyle w:val="ListBullet"/>
      </w:pPr>
      <w:r>
        <w:t>Faster completion of inventories (modules, repos, environments, integrations) and access proofs.</w:t>
      </w:r>
    </w:p>
    <w:p>
      <w:pPr>
        <w:pStyle w:val="ListBullet"/>
      </w:pPr>
      <w:r>
        <w:t>Ability to validate an identical Dev environment side-by-side with the current team.</w:t>
      </w:r>
    </w:p>
    <w:p>
      <w:pPr>
        <w:pStyle w:val="ListBullet"/>
      </w:pPr>
      <w:r>
        <w:t>Reduced risk of incomplete handover and service disruption during transition.</w:t>
      </w:r>
    </w:p>
    <w:p>
      <w:pPr>
        <w:pStyle w:val="ListBullet"/>
      </w:pPr>
      <w:r>
        <w:t>Alignment with the approved transition / KT plan (Discover → Infra ready → KT → Shadow → Reverse → Takeover).</w:t>
      </w:r>
    </w:p>
    <w:p>
      <w:r>
        <w:rPr>
          <w:b/>
        </w:rPr>
        <w:t>6. Action requested from IGR</w:t>
      </w:r>
    </w:p>
    <w:p>
      <w:pPr>
        <w:pStyle w:val="ListBullet"/>
      </w:pPr>
      <w:r>
        <w:t>Approve co-location of New Kaveri IT Cell at CSG premises for the transition / KT period.</w:t>
      </w:r>
    </w:p>
    <w:p>
      <w:pPr>
        <w:pStyle w:val="ListBullet"/>
      </w:pPr>
      <w:r>
        <w:t>Direct CSG to provide seating space, meeting room access, and basic office IT facilities for IT Cell members.</w:t>
      </w:r>
    </w:p>
    <w:p>
      <w:pPr>
        <w:pStyle w:val="ListBullet"/>
      </w:pPr>
      <w:r>
        <w:t>Direct CSG / SDC / DevOps to extend IT infrastructure access (network, VPN/VDI, non-prod apps, logs/monitoring as required).</w:t>
      </w:r>
    </w:p>
    <w:p>
      <w:pPr>
        <w:pStyle w:val="ListBullet"/>
      </w:pPr>
      <w:r>
        <w:t>Direct CSG to share the full Kaveri 2.0 code-repository inventory and grant read access to nominated IT Cell members.</w:t>
      </w:r>
    </w:p>
    <w:p>
      <w:pPr>
        <w:pStyle w:val="ListBullet"/>
      </w:pPr>
      <w:r>
        <w:t>Direct CSG to provision / confirm an identical Kaveri 2.0 development (non-prod) environment for IT Cell use.</w:t>
      </w:r>
    </w:p>
    <w:p>
      <w:pPr>
        <w:pStyle w:val="ListBullet"/>
      </w:pPr>
      <w:r>
        <w:t>Direct CSG to schedule and commence code walkthrough with New Kaveri IT Cell at the earliest.</w:t>
      </w:r>
    </w:p>
    <w:p>
      <w:pPr>
        <w:pStyle w:val="ListBullet"/>
      </w:pPr>
      <w:r>
        <w:t>Nominate / confirm a CSG single point of contact and response SLA for transition coordination.</w:t>
      </w:r>
    </w:p>
    <w:p>
      <w:r>
        <w:rPr>
          <w:b/>
        </w:rPr>
        <w:t>7. Expected outcome</w:t>
      </w:r>
    </w:p>
    <w:p>
      <w:r>
        <w:t>With the above approvals, the New Kaveri IT Cell will be able to start on-premises discovery and code walkthrough without delay, establish evidence-based access to code and environments, and proceed on the agreed transition path from CSG to IT Cell ownership.</w:t>
      </w:r>
    </w:p>
    <w:p/>
    <w:p>
      <w:r>
        <w:rPr>
          <w:i/>
        </w:rPr>
        <w:t>Submitted for kind approval and necessary directions.</w:t>
      </w:r>
    </w:p>
    <w:p/>
    <w:p>
      <w:r>
        <w:t>_______________________________</w:t>
      </w:r>
    </w:p>
    <w:p>
      <w:r>
        <w:rPr>
          <w:b/>
        </w:rPr>
        <w:t>[Name / Designation]</w:t>
      </w:r>
    </w:p>
    <w:p>
      <w:r>
        <w:t>New Kaveri IT Cell</w:t>
      </w:r>
    </w:p>
    <w:p>
      <w:r>
        <w:t>Department of Stamps &amp; Registration / KPMU</w:t>
      </w:r>
    </w:p>
    <w:p/>
    <w:p>
      <w:r>
        <w:rPr>
          <w:b/>
        </w:rPr>
        <w:t>Enclosures (as available):</w:t>
      </w:r>
    </w:p>
    <w:p>
      <w:pPr>
        <w:pStyle w:val="ListBullet"/>
      </w:pPr>
      <w:r>
        <w:t>Kaveri IT Cell resource requirement list (39 posts).</w:t>
      </w:r>
    </w:p>
    <w:p>
      <w:pPr>
        <w:pStyle w:val="ListBullet"/>
      </w:pPr>
      <w:r>
        <w:t>Kaveri Application KT / Transition plan (summary).</w:t>
      </w:r>
    </w:p>
    <w:p>
      <w:pPr>
        <w:pStyle w:val="ListBullet"/>
      </w:pPr>
      <w:r>
        <w:t>Proposed list of IT Cell members requiring access (to be attached).</w:t>
      </w:r>
    </w:p>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