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37B18" w:rsidRPr="00037B18" w:rsidRDefault="00926D9F" w:rsidP="00037B18">
      <w:pPr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926D9F">
        <w:rPr>
          <w:rFonts w:ascii="Arial" w:eastAsia="Times New Roman" w:hAnsi="Arial" w:cs="Arial"/>
          <w:color w:val="242424"/>
          <w:bdr w:val="none" w:sz="0" w:space="0" w:color="auto" w:frame="1"/>
          <w:lang w:val="en-US" w:eastAsia="en-IN"/>
        </w:rPr>
        <w:t> </w:t>
      </w:r>
      <w:bookmarkStart w:id="0" w:name="_GoBack"/>
      <w:r w:rsidR="00037B18" w:rsidRPr="00037B18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In Scope</w:t>
      </w:r>
      <w:bookmarkEnd w:id="0"/>
    </w:p>
    <w:p w:rsidR="00926D9F" w:rsidRPr="00926D9F" w:rsidRDefault="00926D9F" w:rsidP="00926D9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42424"/>
          <w:lang w:eastAsia="en-IN"/>
        </w:rPr>
      </w:pPr>
    </w:p>
    <w:p w:rsidR="00926D9F" w:rsidRPr="00926D9F" w:rsidRDefault="00926D9F" w:rsidP="00926D9F">
      <w:pPr>
        <w:shd w:val="clear" w:color="auto" w:fill="FFFFFF"/>
        <w:spacing w:after="0" w:line="240" w:lineRule="auto"/>
        <w:jc w:val="center"/>
        <w:textAlignment w:val="baseline"/>
        <w:rPr>
          <w:rFonts w:ascii="Segoe UI" w:eastAsia="Times New Roman" w:hAnsi="Segoe UI" w:cs="Segoe UI"/>
          <w:color w:val="242424"/>
          <w:sz w:val="23"/>
          <w:szCs w:val="23"/>
          <w:lang w:eastAsia="en-IN"/>
        </w:rPr>
      </w:pPr>
      <w:r w:rsidRPr="00926D9F">
        <w:rPr>
          <w:rFonts w:ascii="FluentSystemIcons" w:eastAsia="Times New Roman" w:hAnsi="FluentSystemIcons" w:cs="Segoe UI"/>
          <w:color w:val="242424"/>
          <w:sz w:val="30"/>
          <w:szCs w:val="30"/>
          <w:bdr w:val="none" w:sz="0" w:space="0" w:color="auto" w:frame="1"/>
          <w:lang w:eastAsia="en-IN"/>
        </w:rPr>
        <w:t></w:t>
      </w:r>
    </w:p>
    <w:tbl>
      <w:tblPr>
        <w:tblW w:w="9923" w:type="dxa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84"/>
        <w:gridCol w:w="2484"/>
        <w:gridCol w:w="4955"/>
      </w:tblGrid>
      <w:tr w:rsidR="00926D9F" w:rsidRPr="00926D9F" w:rsidTr="00926D9F">
        <w:trPr>
          <w:trHeight w:val="300"/>
          <w:tblHeader/>
          <w:jc w:val="center"/>
        </w:trPr>
        <w:tc>
          <w:tcPr>
            <w:tcW w:w="248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 w:rsidRPr="00926D9F">
              <w:rPr>
                <w:rFonts w:ascii="Arial" w:eastAsia="Times New Roman" w:hAnsi="Arial" w:cs="Arial"/>
                <w:b/>
                <w:bCs/>
                <w:bdr w:val="none" w:sz="0" w:space="0" w:color="auto" w:frame="1"/>
                <w:lang w:val="en-US" w:eastAsia="en-IN"/>
              </w:rPr>
              <w:t>ID</w:t>
            </w:r>
          </w:p>
        </w:tc>
        <w:tc>
          <w:tcPr>
            <w:tcW w:w="248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 w:rsidRPr="00926D9F">
              <w:rPr>
                <w:rFonts w:ascii="Arial" w:eastAsia="Times New Roman" w:hAnsi="Arial" w:cs="Arial"/>
                <w:b/>
                <w:bCs/>
                <w:bdr w:val="none" w:sz="0" w:space="0" w:color="auto" w:frame="1"/>
                <w:lang w:val="en-US" w:eastAsia="en-IN"/>
              </w:rPr>
              <w:t>Scope item</w:t>
            </w:r>
          </w:p>
        </w:tc>
        <w:tc>
          <w:tcPr>
            <w:tcW w:w="495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 w:rsidRPr="00926D9F">
              <w:rPr>
                <w:rFonts w:ascii="Arial" w:eastAsia="Times New Roman" w:hAnsi="Arial" w:cs="Arial"/>
                <w:b/>
                <w:bCs/>
                <w:bdr w:val="none" w:sz="0" w:space="0" w:color="auto" w:frame="1"/>
                <w:lang w:val="en-US" w:eastAsia="en-IN"/>
              </w:rPr>
              <w:t>Description / boundary</w:t>
            </w:r>
          </w:p>
        </w:tc>
      </w:tr>
      <w:tr w:rsidR="00926D9F" w:rsidRPr="00926D9F" w:rsidTr="00926D9F">
        <w:trPr>
          <w:trHeight w:val="300"/>
          <w:jc w:val="center"/>
        </w:trPr>
        <w:tc>
          <w:tcPr>
            <w:tcW w:w="248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IS-01</w:t>
            </w:r>
          </w:p>
        </w:tc>
        <w:tc>
          <w:tcPr>
            <w:tcW w:w="24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User Management</w:t>
            </w:r>
          </w:p>
        </w:tc>
        <w:tc>
          <w:tcPr>
            <w:tcW w:w="49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Source: User management FRS V2.6; citizen registration in FRS – Kaveri 2.0 v0.2.38.</w:t>
            </w:r>
          </w:p>
          <w:p/>
          <w:p>
            <w:r>
              <w:t>Citizen / Applicant:</w:t>
            </w:r>
          </w:p>
          <w:p>
            <w:r>
              <w:t>Account creation, login, forgot password; Email / Mobile OTP verification.</w:t>
            </w:r>
          </w:p>
          <w:p>
            <w:r>
              <w:t>Mobile OTP-based login (also required for Digital e-Stamp) alongside email login.</w:t>
            </w:r>
          </w:p>
          <w:p>
            <w:r>
              <w:t>Aadhaar-based e-KYC for citizens where mandated by flow.</w:t>
            </w:r>
          </w:p>
          <w:p/>
          <w:p>
            <w:r>
              <w:t>Department users:</w:t>
            </w:r>
          </w:p>
          <w:p>
            <w:r>
              <w:t>Admin hierarchy – Super Admin (DIGR Admin), DRO Admin, SRO Admin.</w:t>
            </w:r>
          </w:p>
          <w:p>
            <w:r>
              <w:t>Masters – Office, Post, User Type, Role; Map modules / sub-modules / functions to Roles (RBAC).</w:t>
            </w:r>
          </w:p>
          <w:p>
            <w:r>
              <w:t>User lifecycle – Create / View / Edit user (KGID for Government Appointee); Activate / Deactivate.</w:t>
            </w:r>
          </w:p>
          <w:p>
            <w:r>
              <w:t>Deputation / Leave management; Transfer; Promotion.</w:t>
            </w:r>
          </w:p>
          <w:p>
            <w:r>
              <w:t>Authentication – KGID / biometric / face as applicable for department users.</w:t>
            </w:r>
          </w:p>
          <w:p/>
          <w:p>
            <w:r>
              <w:t>Boundary: Access control foundation for all other modules. External dept users (IT, Bank, Lawyer) via admin-provisioned accounts where applicable.</w:t>
            </w:r>
          </w:p>
        </w:tc>
      </w:tr>
      <w:tr w:rsidR="00926D9F" w:rsidRPr="00926D9F" w:rsidTr="00926D9F">
        <w:trPr>
          <w:trHeight w:val="300"/>
          <w:jc w:val="center"/>
        </w:trPr>
        <w:tc>
          <w:tcPr>
            <w:tcW w:w="248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IS-02</w:t>
            </w:r>
          </w:p>
        </w:tc>
        <w:tc>
          <w:tcPr>
            <w:tcW w:w="24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Marriage Registration</w:t>
            </w:r>
          </w:p>
        </w:tc>
        <w:tc>
          <w:tcPr>
            <w:tcW w:w="49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Source: Marriage Registration Module FRS V4.0.</w:t>
            </w:r>
          </w:p>
          <w:p/>
          <w:p>
            <w:r>
              <w:t>Marriage types:</w:t>
            </w:r>
          </w:p>
          <w:p>
            <w:r>
              <w:t>Hindu Marriage – Online and Offline (Hindu Marriage Act, 1955).</w:t>
            </w:r>
          </w:p>
          <w:p>
            <w:r>
              <w:t>Special Marriage (Intended Marriage Notice) – Offline notice, solemnization, certificate (Special Marriage Act, 1954 / Karnataka Rules).</w:t>
            </w:r>
          </w:p>
          <w:p>
            <w:r>
              <w:t>Special Marriage of Other Forms – Online and Offline.</w:t>
            </w:r>
          </w:p>
          <w:p>
            <w:r>
              <w:t>Parsi Marriage (Parsi Marriage and Divorce Act, 1936) – as covered in marriage module scope.</w:t>
            </w:r>
          </w:p>
          <w:p/>
          <w:p>
            <w:r>
              <w:t>Application has to support both Online and Offline Process.</w:t>
            </w:r>
          </w:p>
          <w:p>
            <w:r>
              <w:t>Online – via Kaveri Application / Portal.</w:t>
            </w:r>
          </w:p>
          <w:p>
            <w:r>
              <w:t>Offline – at SR / Marriage Office; registration by SRO / MO / FDA / SDA.</w:t>
            </w:r>
          </w:p>
          <w:p/>
          <w:p>
            <w:r>
              <w:t>Core capabilities: application capture, fee payment, scrutiny, joint photo / witness capture, marriage certificate generation and delivery, MIS; bilingual (Kannada / English).</w:t>
            </w:r>
          </w:p>
          <w:p>
            <w:r>
              <w:t>Boundary: Marriage Certificate Certified Copy issuance aligns with IS-06 where applicable.</w:t>
            </w:r>
          </w:p>
        </w:tc>
      </w:tr>
      <w:tr w:rsidR="00926D9F" w:rsidRPr="00926D9F" w:rsidTr="00926D9F">
        <w:trPr>
          <w:trHeight w:val="300"/>
          <w:jc w:val="center"/>
        </w:trPr>
        <w:tc>
          <w:tcPr>
            <w:tcW w:w="248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IS-03</w:t>
            </w:r>
          </w:p>
        </w:tc>
        <w:tc>
          <w:tcPr>
            <w:tcW w:w="24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Document Registration</w:t>
            </w:r>
          </w:p>
        </w:tc>
        <w:tc>
          <w:tcPr>
            <w:tcW w:w="49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Source: FRS – Kaveri 2.0 v0.2.38; Paperless registration-I FRS; Re-registration FRS v1.4;</w:t>
            </w:r>
          </w:p>
          <w:p>
            <w:r>
              <w:t>K1 pending document FRS; Will after death of testator FRS; SRO Round-robin FRS;</w:t>
            </w:r>
          </w:p>
          <w:p>
            <w:r>
              <w:t>Book-I Part-I Other Memo / Part III(b) / Rule 17(3) Filing FRSs; PoA / Witness eKYC / related notes.</w:t>
            </w:r>
          </w:p>
          <w:p/>
          <w:p>
            <w:r>
              <w:t>2 types of flows – Paper and Paperless.</w:t>
            </w:r>
          </w:p>
          <w:p>
            <w:r>
              <w:t>Paper – ink-signed deed, physical presentation, scan &amp; store.</w:t>
            </w:r>
          </w:p>
          <w:p>
            <w:r>
              <w:t>Paperless – digital execution (e-Sign / DSC), biometric e-KYC, digital endorsements &amp; Sec. 60.</w:t>
            </w:r>
          </w:p>
          <w:p/>
          <w:p>
            <w:r>
              <w:t>Online and Offline Process (Portal / SRO Kiosk / DEO / FDA / SDA / SR).</w:t>
            </w:r>
          </w:p>
          <w:p/>
          <w:p>
            <w:r>
              <w:t>Citizen pre-registration flow:</w:t>
            </w:r>
          </w:p>
          <w:p>
            <w:r>
              <w:t>Type of Document (Sale, Mortgage, Lease, DoT, Partition, Gift, GPA, Will, etc.); Property Search (Bhoomi, e-Swathu, e-Aasthi, ULMS); Property Schedule;</w:t>
            </w:r>
          </w:p>
          <w:p>
            <w:r>
              <w:t>Market Valuation &amp; Fee Calculation (detail under IS-04); Party Information; Document Summary; SRO Confirmation;</w:t>
            </w:r>
          </w:p>
          <w:p>
            <w:r>
              <w:t>Payment; Appointment; Anywhere registration with Round-robin SRO scrutiny allocation.</w:t>
            </w:r>
          </w:p>
          <w:p/>
          <w:p>
            <w:r>
              <w:t>Department flow: allocation to DEO; biometrics; Aadhaar auth scenarios (Aadhaar Authentication Requirement note);</w:t>
            </w:r>
          </w:p>
          <w:p>
            <w:r>
              <w:t>Register / Keep Pending / Withdraw / Refuse / Send back; Index I–II; J-slip to Bhoomi; scan &amp; digital sign.</w:t>
            </w:r>
          </w:p>
          <w:p/>
          <w:p>
            <w:r>
              <w:t>Extended: Re-registration on DR/Court order; K1 pending release; Will after death (Book 3); Book-I filings; exceptional cases (delay condonation, private attendance, undervaluation/impound, PoA, etc.);</w:t>
            </w:r>
          </w:p>
          <w:p>
            <w:r>
              <w:t>Court Order, Liability, Cross Reference, Sec. 68(2) Correction, Filing Document supporting modules.</w:t>
            </w:r>
          </w:p>
          <w:p/>
          <w:p>
            <w:r>
              <w:t>Boundary: EC (IS-05), CC (IS-06), Firm filing at DRO (IS-07), Digital e-Stamp issue (IS-08) are separate.</w:t>
            </w:r>
          </w:p>
        </w:tc>
      </w:tr>
      <w:tr w:rsidR="00926D9F" w:rsidRPr="00926D9F" w:rsidTr="00926D9F">
        <w:trPr>
          <w:trHeight w:val="300"/>
          <w:jc w:val="center"/>
        </w:trPr>
        <w:tc>
          <w:tcPr>
            <w:tcW w:w="248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IS-04</w:t>
            </w:r>
          </w:p>
        </w:tc>
        <w:tc>
          <w:tcPr>
            <w:tcW w:w="24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proofErr w:type="spellStart"/>
            <w:proofErr w:type="spellEnd"/>
            <w:r>
              <w:t>Market Valuation</w:t>
            </w:r>
          </w:p>
        </w:tc>
        <w:tc>
          <w:tcPr>
            <w:tcW w:w="49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Source: FRS – Kaveri 2.0 (Market Valuation / Fee Calculation); GIS based valuation FRS v2.1;</w:t>
            </w:r>
          </w:p>
          <w:p>
            <w:r>
              <w:t>UPOR FRS; related valuation / fee notes in FRS Documents.</w:t>
            </w:r>
          </w:p>
          <w:p/>
          <w:p>
            <w:r>
              <w:t>Guideline / market value determination for stamp duty and registration fee.</w:t>
            </w:r>
          </w:p>
          <w:p>
            <w:r>
              <w:t>Agricultural properties – GIS-based automated valuation via Bhoomi / KSRSAC attribute fetch (GIS FRS v2.1); reduce manual road/zone discretion.</w:t>
            </w:r>
          </w:p>
          <w:p>
            <w:r>
              <w:t>Non-agricultural – existing market valuation logic retained unless separately changed.</w:t>
            </w:r>
          </w:p>
          <w:p>
            <w:r>
              <w:t>Citizen / SR ability to estimate EMV, Stamp Duty and Registration Fee; Form-1 / schedule based valuation at SRO.</w:t>
            </w:r>
          </w:p>
          <w:p>
            <w:r>
              <w:t>Article-based fee calculation integrated with Document Registration and Digital e-Stamp.</w:t>
            </w:r>
          </w:p>
          <w:p/>
          <w:p>
            <w:r>
              <w:t>Boundary: Valuation supports IS-03 and IS-08; CVC guideline value master / fixation process as per department valuation policy reflected in GIS/UPOR FRSs.</w:t>
            </w:r>
          </w:p>
        </w:tc>
      </w:tr>
      <w:tr w:rsidR="00926D9F" w:rsidRPr="00926D9F" w:rsidTr="00926D9F">
        <w:trPr>
          <w:trHeight w:val="300"/>
          <w:jc w:val="center"/>
        </w:trPr>
        <w:tc>
          <w:tcPr>
            <w:tcW w:w="248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IS-05</w:t>
            </w:r>
          </w:p>
        </w:tc>
        <w:tc>
          <w:tcPr>
            <w:tcW w:w="24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Encumbrance Certificate</w:t>
            </w:r>
          </w:p>
        </w:tc>
        <w:tc>
          <w:tcPr>
            <w:tcW w:w="49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Source: FRS – Kaveri 2.0 v0.2.38 (Encumbrance Certificate); KaveriArchitecture (EC volume / K1 EC).</w:t>
            </w:r>
          </w:p>
          <w:p/>
          <w:p>
            <w:r>
              <w:t>EC shows registered transactions over a property (Form 22 application; Form 15 / nil Form 16).</w:t>
            </w:r>
          </w:p>
          <w:p>
            <w:r>
              <w:t>Search – property parameters (district / taluk / hobli / village / survey / property no. / extent / boundaries); seller / purchaser; Blockchain key where applicable;</w:t>
            </w:r>
          </w:p>
          <w:p>
            <w:r>
              <w:t>Kaveri-1 EC retrieval via Kaveri-1 integration.</w:t>
            </w:r>
          </w:p>
          <w:p/>
          <w:p>
            <w:r>
              <w:t>Online application → payment → digitally signed EC (SDA / FDA / SR digital sign chain).</w:t>
            </w:r>
          </w:p>
          <w:p>
            <w:r>
              <w:t>Offline / department path at SRO; Index-II based generation.</w:t>
            </w:r>
          </w:p>
          <w:p>
            <w:r>
              <w:t>Transaction EC printed as part of Document Registration completion (Form 15).</w:t>
            </w:r>
          </w:p>
          <w:p>
            <w:r>
              <w:t>Suo Moto EC payment mode reference for related department searches.</w:t>
            </w:r>
          </w:p>
          <w:p/>
          <w:p>
            <w:r>
              <w:t>Boundary: Certified Copy is IS-06. EC search of classified Book-3/4 documents follows Suo Moto rules under IS-06 where applicable.</w:t>
            </w:r>
          </w:p>
        </w:tc>
      </w:tr>
      <w:tr w:rsidR="00926D9F" w:rsidRPr="00926D9F" w:rsidTr="00926D9F">
        <w:trPr>
          <w:trHeight w:val="300"/>
          <w:jc w:val="center"/>
        </w:trPr>
        <w:tc>
          <w:tcPr>
            <w:tcW w:w="248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IS-06</w:t>
            </w:r>
          </w:p>
        </w:tc>
        <w:tc>
          <w:tcPr>
            <w:tcW w:w="24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Certified Copy</w:t>
            </w:r>
          </w:p>
        </w:tc>
        <w:tc>
          <w:tcPr>
            <w:tcW w:w="49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Source: FRS – Kaveri 2.0 v0.2.38 (Certified Copy); Note on Suo Moto CC (Book-3 and Book-4).</w:t>
            </w:r>
          </w:p>
          <w:p/>
          <w:p>
            <w:r>
              <w:t>Digitally signed copy of registered scanned document (Book-1 and related book types; Marriage / Marriage Notice as applicable).</w:t>
            </w:r>
          </w:p>
          <w:p>
            <w:r>
              <w:t>Search by Document details – Document Type, District, SRO, Book Type (Book-1 parts, Rule 17(2)/(3), etc.), Document Number, Year.</w:t>
            </w:r>
          </w:p>
          <w:p>
            <w:r>
              <w:t>Online application → stamp duty payment (Sec. 10A / Appendix BA) → SDA / FDA / SR digital sign → citizen download.</w:t>
            </w:r>
          </w:p>
          <w:p/>
          <w:p>
            <w:r>
              <w:t>Suo Moto CC (Book-3 / Book-4): citizen presents original at SRO; department CC search without citizen self-service for classified books;</w:t>
            </w:r>
          </w:p>
          <w:p>
            <w:r>
              <w:t>SDA prepare &amp; sign → FDA verify → SR approve &amp; sign → print &amp; deliver; payment mode same as Suo Moto EC.</w:t>
            </w:r>
          </w:p>
          <w:p/>
          <w:p>
            <w:r>
              <w:t>Boundary: EC is IS-05. Firm Form-C / register extracts also available under Firm module (IS-07).</w:t>
            </w:r>
          </w:p>
        </w:tc>
      </w:tr>
      <w:tr w:rsidR="00926D9F" w:rsidRPr="00926D9F" w:rsidTr="00926D9F">
        <w:trPr>
          <w:trHeight w:val="300"/>
          <w:jc w:val="center"/>
        </w:trPr>
        <w:tc>
          <w:tcPr>
            <w:tcW w:w="248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IS-07</w:t>
            </w:r>
          </w:p>
        </w:tc>
        <w:tc>
          <w:tcPr>
            <w:tcW w:w="24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Firm Registration</w:t>
            </w:r>
          </w:p>
        </w:tc>
        <w:tc>
          <w:tcPr>
            <w:tcW w:w="49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Source: Firm registration FRS V1.7.</w:t>
            </w:r>
          </w:p>
          <w:p/>
          <w:p>
            <w:r>
              <w:t>Services:</w:t>
            </w:r>
          </w:p>
          <w:p>
            <w:r>
              <w:t>New Firm Registration</w:t>
            </w:r>
          </w:p>
          <w:p>
            <w:r>
              <w:t>Amendment – firm name / principal place; other places of business; partner name / address; notice of election on attaining majority</w:t>
            </w:r>
          </w:p>
          <w:p>
            <w:r>
              <w:t>Reconstitution – incoming / outgoing partner</w:t>
            </w:r>
          </w:p>
          <w:p>
            <w:r>
              <w:t>Dissolution of Firm</w:t>
            </w:r>
          </w:p>
          <w:p>
            <w:r>
              <w:t>Protest Entry; Index Search; Certified Copy of Register of Firms entries</w:t>
            </w:r>
          </w:p>
          <w:p/>
          <w:p>
            <w:r>
              <w:t>Online and Offline at DRO; approval by District Registrar.</w:t>
            </w:r>
          </w:p>
          <w:p>
            <w:r>
              <w:t>Two-step: partnership / reconstitution / dissolution deed at SRO (IS-03) then firm filing at DRO (Indian Partnership Act, 1932).</w:t>
            </w:r>
          </w:p>
          <w:p>
            <w:r>
              <w:t>Name uniqueness / objectionable names (Emblems and Names Act); fee, Form C, Register of Firms &amp; Index; DigiLocker e-Sign; SAKALA; Aadhaar dependency; K1→K2 firm migration.</w:t>
            </w:r>
          </w:p>
          <w:p/>
          <w:p>
            <w:r>
              <w:t>Boundary: Deed registration under IS-03. Society Registration out of this item. K1 Form C shown as-is; full Form I–VI / Form A for K1 firms not available (Firm FRS limitation).</w:t>
            </w:r>
          </w:p>
        </w:tc>
      </w:tr>
      <w:tr w:rsidR="00926D9F" w:rsidRPr="00926D9F" w:rsidTr="00926D9F">
        <w:trPr>
          <w:trHeight w:val="300"/>
          <w:jc w:val="center"/>
        </w:trPr>
        <w:tc>
          <w:tcPr>
            <w:tcW w:w="248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IS-08</w:t>
            </w:r>
          </w:p>
        </w:tc>
        <w:tc>
          <w:tcPr>
            <w:tcW w:w="24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Digital E-Stamp</w:t>
            </w:r>
          </w:p>
        </w:tc>
        <w:tc>
          <w:tcPr>
            <w:tcW w:w="49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proofErr w:type="spellStart"/>
            <w:proofErr w:type="spellEnd"/>
            <w:r>
              <w:t>Source: Digital e-stamp FRS v1 3.</w:t>
            </w:r>
          </w:p>
          <w:p/>
          <w:p>
            <w:r>
              <w:t>Digital e-Stamp for optionally registrable articles (stamp duty payable; registration under Registration Act not compulsory).</w:t>
            </w:r>
          </w:p>
          <w:p>
            <w:r>
              <w:t>Citizen applies on Kaveri 2.0; stamp duty calculated from article / property / location; pay via UPI / net banking / cards;</w:t>
            </w:r>
          </w:p>
          <w:p>
            <w:r>
              <w:t>Instant unique e-Stamp certificate; download digitally signed e-Stamp from dashboard.</w:t>
            </w:r>
          </w:p>
          <w:p/>
          <w:p>
            <w:r>
              <w:t>Two-level article mapping (Nature of document → Stamp Sub-article); only optionally registrable articles;</w:t>
            </w:r>
          </w:p>
          <w:p>
            <w:r>
              <w:t>Schedule selection (Agricultural / Non-Agricultural / Miscellaneous); property validations (Bhoomi / e-Aasthi / e-Swathu / ULMS);</w:t>
            </w:r>
          </w:p>
          <w:p>
            <w:r>
              <w:t>Party details with Aadhaar e-KYC / OTP; name matching (C-DAC threshold); Mobile OTP login + e-KYC mandatory.</w:t>
            </w:r>
          </w:p>
          <w:p/>
          <w:p>
            <w:r>
              <w:t>Boundary: Mandatorily registrable articles remain under Document Registration (IS-03). Physical stamp paper / franking outside digital e-Stamp path.</w:t>
            </w:r>
          </w:p>
        </w:tc>
      </w:tr>
      <w:tr w:rsidR="00926D9F" w:rsidRPr="00926D9F" w:rsidTr="00926D9F">
        <w:trPr>
          <w:trHeight w:val="300"/>
          <w:jc w:val="center"/>
        </w:trPr>
        <w:tc>
          <w:tcPr>
            <w:tcW w:w="248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IS-09</w:t>
            </w:r>
          </w:p>
        </w:tc>
        <w:tc>
          <w:tcPr>
            <w:tcW w:w="24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Accounts</w:t>
            </w:r>
          </w:p>
        </w:tc>
        <w:tc>
          <w:tcPr>
            <w:tcW w:w="49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Source: Accounts Module FRS V.01.</w:t>
            </w:r>
          </w:p>
          <w:p/>
          <w:p>
            <w:r>
              <w:t>Internal accounting for IGR / DR / SR – remittance to Head of Account, bank challan and treasury reconciliation.</w:t>
            </w:r>
          </w:p>
          <w:p>
            <w:r>
              <w:t>Types: Add Funds (IGR – HOA, Quarter, Amount, Upload Order);</w:t>
            </w:r>
          </w:p>
          <w:p>
            <w:r>
              <w:t>Allocate Funds (IGR→District; DR→SRO);</w:t>
            </w:r>
          </w:p>
          <w:p>
            <w:r>
              <w:t>Expenditure (IGR / DR / SR);</w:t>
            </w:r>
          </w:p>
          <w:p>
            <w:r>
              <w:t>Reconciliation (SR / DR with treasury / bank).</w:t>
            </w:r>
          </w:p>
          <w:p/>
          <w:p>
            <w:r>
              <w:t>SRO daily accounting → DRO consolidation → IGR; statements prepared and remitted.</w:t>
            </w:r>
          </w:p>
          <w:p>
            <w:r>
              <w:t>Boundary: Citizen payment capture remains in service modules (IS-03/05/06/07/08); Khajane gateway under IS-11.</w:t>
            </w:r>
          </w:p>
        </w:tc>
      </w:tr>
      <w:tr w:rsidR="00926D9F" w:rsidRPr="00926D9F" w:rsidTr="00926D9F">
        <w:trPr>
          <w:trHeight w:val="300"/>
          <w:jc w:val="center"/>
        </w:trPr>
        <w:tc>
          <w:tcPr>
            <w:tcW w:w="248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IS-10</w:t>
            </w:r>
          </w:p>
        </w:tc>
        <w:tc>
          <w:tcPr>
            <w:tcW w:w="24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Audit</w:t>
            </w:r>
          </w:p>
        </w:tc>
        <w:tc>
          <w:tcPr>
            <w:tcW w:w="49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Source: Audit Module FRS V.02.</w:t>
            </w:r>
          </w:p>
          <w:p/>
          <w:p>
            <w:r>
              <w:t>Internal Audit – DR / IGR / Regional Committee / HQA / Deputy Commissioner inspections (DR 50%, HQA 100%, IGR one office per district).</w:t>
            </w:r>
          </w:p>
          <w:p>
            <w:r>
              <w:t>External Audit – Auditor General / AG office annual inspection; Local Audit Report; Audit Para query &amp; response.</w:t>
            </w:r>
          </w:p>
          <w:p>
            <w:r>
              <w:t>AG / auditor login creation by office head (SR / DR / division head); AG email + ID card; period-based fetch of registered documents;</w:t>
            </w:r>
          </w:p>
          <w:p>
            <w:r>
              <w:t>Request to view document details → office head approval → digitally accessible audit trail instead of manual consolidation.</w:t>
            </w:r>
          </w:p>
          <w:p/>
          <w:p>
            <w:r>
              <w:t>Boundary: Separate login for audit on KAVERI reports portal as specified. Does not replace statutory AG process outside the application.</w:t>
            </w:r>
          </w:p>
        </w:tc>
      </w:tr>
      <w:tr w:rsidR="00926D9F" w:rsidRPr="00926D9F" w:rsidTr="00926D9F">
        <w:trPr>
          <w:trHeight w:val="300"/>
          <w:jc w:val="center"/>
        </w:trPr>
        <w:tc>
          <w:tcPr>
            <w:tcW w:w="248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IS-11</w:t>
            </w:r>
          </w:p>
        </w:tc>
        <w:tc>
          <w:tcPr>
            <w:tcW w:w="24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External Integrations</w:t>
            </w:r>
          </w:p>
        </w:tc>
        <w:tc>
          <w:tcPr>
            <w:tcW w:w="49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Source: KaveriArchitecture.pdf (Integrations); FRS cross-module integration notes.</w:t>
            </w:r>
          </w:p>
          <w:p/>
          <w:p>
            <w:r>
              <w:t>Kaveri 3.0 shall connect to send/receive data with (as deployed / available):</w:t>
            </w:r>
          </w:p>
          <w:p>
            <w:r>
              <w:t>Bhoomi &amp; Mojini – agri property pull; mutation push.</w:t>
            </w:r>
          </w:p>
          <w:p>
            <w:r>
              <w:t>eSwathu / RDPR – rural non-agri pull; mutation / eKhata push.</w:t>
            </w:r>
          </w:p>
          <w:p>
            <w:r>
              <w:t>eAasthi &amp; BBMP – urban property pull; mutation / eKhata push.</w:t>
            </w:r>
          </w:p>
          <w:p>
            <w:r>
              <w:t>ULMS – non-eAasthi urban properties.</w:t>
            </w:r>
          </w:p>
          <w:p>
            <w:r>
              <w:t>FRUITS / eSaala – agri mortgage / release filing; 1-day EC push.</w:t>
            </w:r>
          </w:p>
          <w:p>
            <w:r>
              <w:t>Kaveri 1 – EC/CC and pending/completed registration data.</w:t>
            </w:r>
          </w:p>
          <w:p>
            <w:r>
              <w:t>Khajane – Payment Gateway.</w:t>
            </w:r>
          </w:p>
          <w:p>
            <w:r>
              <w:t>eKYC &amp; eSign (Aadhaar / DigiLocker / CDAC as applicable).</w:t>
            </w:r>
          </w:p>
          <w:p>
            <w:r>
              <w:t>Sakala – service timelines; Scality – document store; SMS; Email.</w:t>
            </w:r>
          </w:p>
          <w:p>
            <w:r>
              <w:t>KGIS – map layer; NGDRS – user details push on need basis.</w:t>
            </w:r>
          </w:p>
          <w:p>
            <w:r>
              <w:t>UPOR / PAN / NESL / other FRS-noted integrations as approved.</w:t>
            </w:r>
          </w:p>
          <w:p/>
          <w:p>
            <w:r>
              <w:t>P.S.: External systems are owned by respective agencies; Kaveri integrates via APIs / scheduled jobs.</w:t>
            </w:r>
          </w:p>
        </w:tc>
      </w:tr>
      <w:tr w:rsidR="00926D9F" w:rsidRPr="00926D9F" w:rsidTr="00926D9F">
        <w:trPr>
          <w:trHeight w:val="300"/>
          <w:jc w:val="center"/>
        </w:trPr>
        <w:tc>
          <w:tcPr>
            <w:tcW w:w="248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IS-12</w:t>
            </w:r>
          </w:p>
        </w:tc>
        <w:tc>
          <w:tcPr>
            <w:tcW w:w="24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Reporting / Dashboard</w:t>
            </w:r>
          </w:p>
        </w:tc>
        <w:tc>
          <w:tcPr>
            <w:tcW w:w="49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Source: FRS – Kaveri 2.0 MIS sections; Department Login &amp; dashboard; KaveriArchitecture (reporting / batch); Audit reports portal.</w:t>
            </w:r>
          </w:p>
          <w:p/>
          <w:p>
            <w:r>
              <w:t>Citizen – application status tracking, download certificates / e-Stamp / EC / CC.</w:t>
            </w:r>
          </w:p>
          <w:p>
            <w:r>
              <w:t>Department dashboards – SR / DR / IGR worklists (scrutiny, registration, EC/CC approval, firm, audit requests).</w:t>
            </w:r>
          </w:p>
          <w:p>
            <w:r>
              <w:t>MIS – registrations by article / book / office; revenue by mode/channel; pending / refused / withdrawn / undervaluation;</w:t>
            </w:r>
          </w:p>
          <w:p>
            <w:r>
              <w:t>Marriage / Firm statistics; SLA / Sakala oriented views; bilingual labels where required.</w:t>
            </w:r>
          </w:p>
          <w:p>
            <w:r>
              <w:t>Scheduled / batch jobs for reconciliation and reporting (Architecture).</w:t>
            </w:r>
          </w:p>
          <w:p/>
          <w:p>
            <w:r>
              <w:t>Boundary: Operational observability metrics are under IS-16; Audit Para workflows under IS-10.</w:t>
            </w:r>
          </w:p>
        </w:tc>
      </w:tr>
      <w:tr w:rsidR="00926D9F" w:rsidRPr="00926D9F" w:rsidTr="00926D9F">
        <w:trPr>
          <w:trHeight w:val="300"/>
          <w:jc w:val="center"/>
        </w:trPr>
        <w:tc>
          <w:tcPr>
            <w:tcW w:w="248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IS-13</w:t>
            </w:r>
          </w:p>
        </w:tc>
        <w:tc>
          <w:tcPr>
            <w:tcW w:w="24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Security</w:t>
            </w:r>
          </w:p>
        </w:tc>
        <w:tc>
          <w:tcPr>
            <w:tcW w:w="49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Source: KaveriArchitecture.pdf; Software Design Document – Kaveri2.0 v2.2; User management FRS; Aadhaar Authentication Requirement note.</w:t>
            </w:r>
          </w:p>
          <w:p/>
          <w:p>
            <w:r>
              <w:t>Reverse proxy – SSL offloading, rate limiting, bot blocking, load balancing.</w:t>
            </w:r>
          </w:p>
          <w:p>
            <w:r>
              <w:t>API Gateway – authN/Z on every request, IP/route rate limits, Redis session, request signature validation (WIP→Prod).</w:t>
            </w:r>
          </w:p>
          <w:p>
            <w:r>
              <w:t>RBAC via User Management (IS-01); department interface only on KSWAN.</w:t>
            </w:r>
          </w:p>
          <w:p>
            <w:r>
              <w:t>Aadhaar e-KYC / e-Sign; consent refusal / service-down / mismatch handling per Aadhaar note.</w:t>
            </w:r>
          </w:p>
          <w:p>
            <w:r>
              <w:t>Digital signatures on registered documents, EC, CC, e-Stamp, firm certificates.</w:t>
            </w:r>
          </w:p>
          <w:p>
            <w:r>
              <w:t>Reduced attack surface by not exposing internal microservices directly (API Gateway pattern – SDD).</w:t>
            </w:r>
          </w:p>
          <w:p/>
          <w:p>
            <w:r>
              <w:t>Boundary: Infrastructure WAF/SDC controls owned by SDC; application implements gateway and service-level controls.</w:t>
            </w:r>
          </w:p>
        </w:tc>
      </w:tr>
      <w:tr w:rsidR="00926D9F" w:rsidRPr="00926D9F" w:rsidTr="00926D9F">
        <w:trPr>
          <w:trHeight w:val="300"/>
          <w:jc w:val="center"/>
        </w:trPr>
        <w:tc>
          <w:tcPr>
            <w:tcW w:w="248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IS-14</w:t>
            </w:r>
          </w:p>
        </w:tc>
        <w:tc>
          <w:tcPr>
            <w:tcW w:w="24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Environment &amp; Deployment</w:t>
            </w:r>
          </w:p>
        </w:tc>
        <w:tc>
          <w:tcPr>
            <w:tcW w:w="49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Source: KaveriArchitecture.pdf §5 Deployment and Environments; Software Design Document.</w:t>
            </w:r>
          </w:p>
          <w:p/>
          <w:p>
            <w:r>
              <w:t>Stack: Angular SPA (citizen &amp; department UI); .NET Core / Python / Go services; PostgreSQL; Redis cache.</w:t>
            </w:r>
          </w:p>
          <w:p>
            <w:r>
              <w:t>Environments: Development (Azure) → Staging (SDC) → Production (SDC).</w:t>
            </w:r>
          </w:p>
          <w:p>
            <w:r>
              <w:t>Deployment units – services, web app, DB migrations; automated Dev pipelines; Staging via scripts/Jenkins/Portainer; Prod via scripts (promote Portainer/Docker Swarm).</w:t>
            </w:r>
          </w:p>
          <w:p>
            <w:r>
              <w:t>Post-deploy checks – service up, DB connectivity, downstream dependencies (gateway/cache).</w:t>
            </w:r>
          </w:p>
          <w:p>
            <w:r>
              <w:t>Rollback – retain stable artifacts; DB rollback scripts mandatory; low downtime tolerance for user-facing workflows.</w:t>
            </w:r>
          </w:p>
          <w:p/>
          <w:p>
            <w:r>
              <w:t>Boundary: SDC hosting and WAF HTTP/2 issues resolved with SDC/WAF vendor (Architecture known item).</w:t>
            </w:r>
          </w:p>
        </w:tc>
      </w:tr>
      <w:tr w:rsidR="00926D9F" w:rsidRPr="00926D9F" w:rsidTr="00926D9F">
        <w:trPr>
          <w:trHeight w:val="300"/>
          <w:jc w:val="center"/>
        </w:trPr>
        <w:tc>
          <w:tcPr>
            <w:tcW w:w="248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IS-15</w:t>
            </w:r>
          </w:p>
        </w:tc>
        <w:tc>
          <w:tcPr>
            <w:tcW w:w="24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Database and Migration</w:t>
            </w:r>
          </w:p>
        </w:tc>
        <w:tc>
          <w:tcPr>
            <w:tcW w:w="49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Source: Design Documents/Database Design (kaveri.sql, kaverimig, kaverimis, kavericdc, kaveridelapp, kaverimrg, kaveri_analytics, ERDs);</w:t>
            </w:r>
          </w:p>
          <w:p>
            <w:r>
              <w:t>KaveriArchitecture (shared DB, replicas, legacy schema); Firm FRS (K1→K2 firm migration).</w:t>
            </w:r>
          </w:p>
          <w:p/>
          <w:p>
            <w:r>
              <w:t>Shared PostgreSQL across services with logical domain grouping (document, marriage, e-Stamp, firm, etc.); read replicas for offload.</w:t>
            </w:r>
          </w:p>
          <w:p>
            <w:r>
              <w:t>Schemas / DBs for registration, migration, MIS, CDC, analytics, backup, marriage, firm, e-stamp, K1 as per Design ERDs.</w:t>
            </w:r>
          </w:p>
          <w:p>
            <w:r>
              <w:t>Kaveri-1 compatibility – pending documents, EC/CC, firm Form C limitations; migration and CDC paths via kaverimig / kavericdc.</w:t>
            </w:r>
          </w:p>
          <w:p>
            <w:r>
              <w:t>Schema evolution with impact analysis; data ownership ideally per service (Architecture focus / known shared-DB limitation).</w:t>
            </w:r>
          </w:p>
          <w:p/>
          <w:p>
            <w:r>
              <w:t>Boundary: Physical SDC DB infrastructure owned by ops; application owns schema migrations and data contracts.</w:t>
            </w:r>
          </w:p>
        </w:tc>
      </w:tr>
      <w:tr w:rsidR="00926D9F" w:rsidRPr="00926D9F" w:rsidTr="00926D9F">
        <w:trPr>
          <w:trHeight w:val="300"/>
          <w:jc w:val="center"/>
        </w:trPr>
        <w:tc>
          <w:tcPr>
            <w:tcW w:w="248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IS-16</w:t>
            </w:r>
          </w:p>
        </w:tc>
        <w:tc>
          <w:tcPr>
            <w:tcW w:w="24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Observability, Monitoring &amp; Testing</w:t>
            </w:r>
          </w:p>
        </w:tc>
        <w:tc>
          <w:tcPr>
            <w:tcW w:w="49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Source: KaveriArchitecture (observability across services/environments; ops scale); QA Files/Test_Cases and Release_Notes;</w:t>
            </w:r>
          </w:p>
          <w:p>
            <w:r>
              <w:t>KaveriMaintenanceServer.pdf (maintenance/ops).</w:t>
            </w:r>
          </w:p>
          <w:p/>
          <w:p>
            <w:r>
              <w:t>Observability present across services and environments; monitor latency-sensitive workflows and peak concurrency (~4.5–5k concurrent).</w:t>
            </w:r>
          </w:p>
          <w:p>
            <w:r>
              <w:t>Transaction scale awareness (Doc Reg / EC / CC volumes per Architecture).</w:t>
            </w:r>
          </w:p>
          <w:p>
            <w:r>
              <w:t>Testing in scope: functional / regression coverage aligned to CSG test cases – User Registration, Document Registration,</w:t>
            </w:r>
          </w:p>
          <w:p>
            <w:r>
              <w:t>Document Info &amp; Property Search, SRO Confirmation, Paperless, Firm (New/Amendment/Reconstitution), Marriage Online/Offline, and related module suites;</w:t>
            </w:r>
          </w:p>
          <w:p>
            <w:r>
              <w:t>UAT / Prod release notes process under QA Files/Release_Notes.</w:t>
            </w:r>
          </w:p>
          <w:p/>
          <w:p>
            <w:r>
              <w:t>Boundary: Infrastructure monitoring tools at SDC may be shared; application instrumentation and QA evidence are in scope.</w:t>
            </w:r>
          </w:p>
        </w:tc>
      </w:tr>
      <w:tr w:rsidR="00926D9F" w:rsidRPr="00926D9F" w:rsidTr="00926D9F">
        <w:trPr>
          <w:trHeight w:val="300"/>
          <w:jc w:val="center"/>
        </w:trPr>
        <w:tc>
          <w:tcPr>
            <w:tcW w:w="248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IS-17</w:t>
            </w:r>
          </w:p>
        </w:tc>
        <w:tc>
          <w:tcPr>
            <w:tcW w:w="24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AI</w:t>
            </w:r>
          </w:p>
        </w:tc>
        <w:tc>
          <w:tcPr>
            <w:tcW w:w="49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Source: No dedicated AI FRS / design baseline found under CSG Documents as of this scope version.</w:t>
            </w:r>
          </w:p>
          <w:p/>
          <w:p>
            <w:r>
              <w:t>AI capabilities for Kaveri 3.0 are not defined in the current CSG FRS / Design document set.</w:t>
            </w:r>
          </w:p>
          <w:p>
            <w:r>
              <w:t>Any AI features (assistive drafting, classification, anomaly detection, etc.) require a separate approved CSG requirement note / FRS before inclusion in delivery scope.</w:t>
            </w:r>
          </w:p>
          <w:p/>
          <w:p>
            <w:r>
              <w:t>Boundary: Out of baseline until CSG publishes AI requirements. Existing C-DAC name-matching and rule-based valuations are not classified as AI modules.</w:t>
            </w:r>
          </w:p>
        </w:tc>
      </w:tr>
    </w:tbl>
    <w:p w:rsidR="00926D9F" w:rsidRDefault="00926D9F" w:rsidP="00926D9F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242424"/>
          <w:bdr w:val="none" w:sz="0" w:space="0" w:color="auto" w:frame="1"/>
          <w:lang w:val="en-US" w:eastAsia="en-IN"/>
        </w:rPr>
      </w:pPr>
    </w:p>
    <w:p w:rsidR="00926D9F" w:rsidRPr="00926D9F" w:rsidRDefault="00926D9F" w:rsidP="00926D9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42424"/>
          <w:lang w:eastAsia="en-IN"/>
        </w:rPr>
      </w:pPr>
      <w:r w:rsidRPr="00926D9F">
        <w:rPr>
          <w:rFonts w:ascii="Arial" w:eastAsia="Times New Roman" w:hAnsi="Arial" w:cs="Arial"/>
          <w:b/>
          <w:bCs/>
          <w:color w:val="242424"/>
          <w:bdr w:val="none" w:sz="0" w:space="0" w:color="auto" w:frame="1"/>
          <w:lang w:val="en-US" w:eastAsia="en-IN"/>
        </w:rPr>
        <w:t>8.1 Key Stakeholders</w:t>
      </w:r>
    </w:p>
    <w:p w:rsidR="00926D9F" w:rsidRPr="00926D9F" w:rsidRDefault="00926D9F" w:rsidP="00926D9F">
      <w:pPr>
        <w:shd w:val="clear" w:color="auto" w:fill="FFFFFF"/>
        <w:spacing w:after="0" w:line="240" w:lineRule="auto"/>
        <w:jc w:val="center"/>
        <w:textAlignment w:val="baseline"/>
        <w:rPr>
          <w:rFonts w:ascii="Segoe UI" w:eastAsia="Times New Roman" w:hAnsi="Segoe UI" w:cs="Segoe UI"/>
          <w:color w:val="242424"/>
          <w:sz w:val="23"/>
          <w:szCs w:val="23"/>
          <w:lang w:eastAsia="en-IN"/>
        </w:rPr>
      </w:pPr>
      <w:r w:rsidRPr="00926D9F">
        <w:rPr>
          <w:rFonts w:ascii="FluentSystemIcons" w:eastAsia="Times New Roman" w:hAnsi="FluentSystemIcons" w:cs="Segoe UI"/>
          <w:color w:val="242424"/>
          <w:sz w:val="30"/>
          <w:szCs w:val="30"/>
          <w:bdr w:val="none" w:sz="0" w:space="0" w:color="auto" w:frame="1"/>
          <w:lang w:eastAsia="en-IN"/>
        </w:rPr>
        <w:t></w:t>
      </w:r>
    </w:p>
    <w:tbl>
      <w:tblPr>
        <w:tblW w:w="0" w:type="auto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16"/>
        <w:gridCol w:w="1393"/>
        <w:gridCol w:w="2025"/>
        <w:gridCol w:w="1891"/>
        <w:gridCol w:w="1781"/>
      </w:tblGrid>
      <w:tr w:rsidR="00926D9F" w:rsidRPr="00926D9F" w:rsidTr="00926D9F">
        <w:trPr>
          <w:tblHeader/>
          <w:jc w:val="center"/>
        </w:trPr>
        <w:tc>
          <w:tcPr>
            <w:tcW w:w="21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 w:rsidRPr="00926D9F">
              <w:rPr>
                <w:rFonts w:ascii="Arial" w:eastAsia="Times New Roman" w:hAnsi="Arial" w:cs="Arial"/>
                <w:b/>
                <w:bCs/>
                <w:bdr w:val="none" w:sz="0" w:space="0" w:color="auto" w:frame="1"/>
                <w:lang w:val="en-US" w:eastAsia="en-IN"/>
              </w:rPr>
              <w:t>Stakeholder / Group</w:t>
            </w:r>
          </w:p>
        </w:tc>
        <w:tc>
          <w:tcPr>
            <w:tcW w:w="172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 w:rsidRPr="00926D9F">
              <w:rPr>
                <w:rFonts w:ascii="Arial" w:eastAsia="Times New Roman" w:hAnsi="Arial" w:cs="Arial"/>
                <w:b/>
                <w:bCs/>
                <w:bdr w:val="none" w:sz="0" w:space="0" w:color="auto" w:frame="1"/>
                <w:lang w:val="en-US" w:eastAsia="en-IN"/>
              </w:rPr>
              <w:t>Role</w:t>
            </w:r>
          </w:p>
        </w:tc>
        <w:tc>
          <w:tcPr>
            <w:tcW w:w="259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 w:rsidRPr="00926D9F">
              <w:rPr>
                <w:rFonts w:ascii="Arial" w:eastAsia="Times New Roman" w:hAnsi="Arial" w:cs="Arial"/>
                <w:b/>
                <w:bCs/>
                <w:bdr w:val="none" w:sz="0" w:space="0" w:color="auto" w:frame="1"/>
                <w:lang w:val="en-US" w:eastAsia="en-IN"/>
              </w:rPr>
              <w:t>Interest / impact</w:t>
            </w:r>
          </w:p>
        </w:tc>
        <w:tc>
          <w:tcPr>
            <w:tcW w:w="208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 w:rsidRPr="00926D9F">
              <w:rPr>
                <w:rFonts w:ascii="Arial" w:eastAsia="Times New Roman" w:hAnsi="Arial" w:cs="Arial"/>
                <w:b/>
                <w:bCs/>
                <w:bdr w:val="none" w:sz="0" w:space="0" w:color="auto" w:frame="1"/>
                <w:lang w:val="en-US" w:eastAsia="en-IN"/>
              </w:rPr>
              <w:t>Engagement method</w:t>
            </w:r>
          </w:p>
        </w:tc>
        <w:tc>
          <w:tcPr>
            <w:tcW w:w="208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 w:rsidRPr="00926D9F">
              <w:rPr>
                <w:rFonts w:ascii="Arial" w:eastAsia="Times New Roman" w:hAnsi="Arial" w:cs="Arial"/>
                <w:b/>
                <w:bCs/>
                <w:bdr w:val="none" w:sz="0" w:space="0" w:color="auto" w:frame="1"/>
                <w:lang w:val="en-US" w:eastAsia="en-IN"/>
              </w:rPr>
              <w:t>Decision authority</w:t>
            </w:r>
          </w:p>
        </w:tc>
      </w:tr>
      <w:tr w:rsidR="00926D9F" w:rsidRPr="00926D9F" w:rsidTr="00926D9F">
        <w:trPr>
          <w:jc w:val="center"/>
        </w:trPr>
        <w:tc>
          <w:tcPr>
            <w:tcW w:w="21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IGR &amp; Commissioner of Stamps / Steering Committee</w:t>
            </w:r>
          </w:p>
        </w:tc>
        <w:tc>
          <w:tcPr>
            <w:tcW w:w="172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Programme sponsor; head of Department of Stamps and Registration (DSR)</w:t>
            </w:r>
          </w:p>
        </w:tc>
        <w:tc>
          <w:tcPr>
            <w:tcW w:w="25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Programme outcomes, statutory compliance, phase Go-Live readiness and residual risk</w:t>
            </w:r>
          </w:p>
        </w:tc>
        <w:tc>
          <w:tcPr>
            <w:tcW w:w="208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Fortnightly Steering; Go-Live (G-GL) checklist; escalations</w:t>
            </w:r>
          </w:p>
        </w:tc>
        <w:tc>
          <w:tcPr>
            <w:tcW w:w="208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Scope change / swap-in; phase Go-Live approval; residual risk acceptance</w:t>
            </w:r>
          </w:p>
        </w:tc>
      </w:tr>
      <w:tr w:rsidR="00926D9F" w:rsidRPr="00926D9F" w:rsidTr="00926D9F">
        <w:trPr>
          <w:jc w:val="center"/>
        </w:trPr>
        <w:tc>
          <w:tcPr>
            <w:tcW w:w="21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AIGR (Computers) &amp; Requirements Committee</w:t>
            </w:r>
          </w:p>
        </w:tc>
        <w:tc>
          <w:tcPr>
            <w:tcW w:w="172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Domain and requirements authority for Kaveri 3.0</w:t>
            </w:r>
          </w:p>
        </w:tc>
        <w:tc>
          <w:tcPr>
            <w:tcW w:w="25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Correctness and completeness of BR across Marriage, UM, Document, EC/CC, Firm, e-Stamp, Audit</w:t>
            </w:r>
          </w:p>
        </w:tc>
        <w:tc>
          <w:tcPr>
            <w:tcW w:w="208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BR workshops per schedule v3; daily requirement discussions with Kaveri IT Cell</w:t>
            </w:r>
          </w:p>
        </w:tc>
        <w:tc>
          <w:tcPr>
            <w:tcW w:w="208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BRD / domain sign-off; promote or defer scope items</w:t>
            </w:r>
          </w:p>
        </w:tc>
      </w:tr>
      <w:tr w:rsidR="00926D9F" w:rsidRPr="00926D9F" w:rsidTr="00926D9F">
        <w:trPr>
          <w:jc w:val="center"/>
        </w:trPr>
        <w:tc>
          <w:tcPr>
            <w:tcW w:w="21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KPMU / Application Admin</w:t>
            </w:r>
          </w:p>
        </w:tc>
        <w:tc>
          <w:tcPr>
            <w:tcW w:w="172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Programme Management Unit; system super-admin / IGR nominee</w:t>
            </w:r>
          </w:p>
        </w:tc>
        <w:tc>
          <w:tcPr>
            <w:tcW w:w="25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Delivery governance; designated creator roles; sanctioned posts and system-wide configuration</w:t>
            </w:r>
          </w:p>
        </w:tc>
        <w:tc>
          <w:tcPr>
            <w:tcW w:w="208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Steering nominee; admin / configuration workshops; UAT sign-off support</w:t>
            </w:r>
          </w:p>
        </w:tc>
        <w:tc>
          <w:tcPr>
            <w:tcW w:w="208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Designate creator roles; sanctioned-posts master; KPMU programme decisions</w:t>
            </w:r>
          </w:p>
        </w:tc>
      </w:tr>
      <w:tr w:rsidR="00926D9F" w:rsidRPr="00926D9F" w:rsidTr="00926D9F">
        <w:trPr>
          <w:jc w:val="center"/>
        </w:trPr>
        <w:tc>
          <w:tcPr>
            <w:tcW w:w="21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Product Owner (Kaveri IT Cell)</w:t>
            </w:r>
          </w:p>
        </w:tc>
        <w:tc>
          <w:tcPr>
            <w:tcW w:w="172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Product ownership for Kaveri 3.0</w:t>
            </w:r>
          </w:p>
        </w:tc>
        <w:tc>
          <w:tcPr>
            <w:tcW w:w="25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Roadmap, backlog, sprint goals and stakeholder alignment within approved scope</w:t>
            </w:r>
          </w:p>
        </w:tc>
        <w:tc>
          <w:tcPr>
            <w:tcW w:w="208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Sprint review / retro; backlog refinement; Steering pack</w:t>
            </w:r>
          </w:p>
        </w:tc>
        <w:tc>
          <w:tcPr>
            <w:tcW w:w="208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Prioritisation and MVP boundary inside Steering-approved scope</w:t>
            </w:r>
          </w:p>
        </w:tc>
      </w:tr>
      <w:tr w:rsidR="00926D9F" w:rsidRPr="00926D9F" w:rsidTr="00926D9F">
        <w:trPr>
          <w:jc w:val="center"/>
        </w:trPr>
        <w:tc>
          <w:tcPr>
            <w:tcW w:w="21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Project Manager (Kaveri IT Cell)</w:t>
            </w:r>
          </w:p>
        </w:tc>
        <w:tc>
          <w:tcPr>
            <w:tcW w:w="172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Programme / project delivery management</w:t>
            </w:r>
          </w:p>
        </w:tc>
        <w:tc>
          <w:tcPr>
            <w:tcW w:w="25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Plan, milestones, risks, vendor/SLA and O&amp;M reporting across 11-month window</w:t>
            </w:r>
          </w:p>
        </w:tc>
        <w:tc>
          <w:tcPr>
            <w:tcW w:w="208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Daily stand-ups; risk reviews; Steering reporting</w:t>
            </w:r>
          </w:p>
        </w:tc>
        <w:tc>
          <w:tcPr>
            <w:tcW w:w="208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Schedule and mitigation within Steering bounds; release train coordination</w:t>
            </w:r>
          </w:p>
        </w:tc>
      </w:tr>
      <w:tr w:rsidR="00926D9F" w:rsidRPr="00926D9F" w:rsidTr="00926D9F">
        <w:trPr>
          <w:jc w:val="center"/>
        </w:trPr>
        <w:tc>
          <w:tcPr>
            <w:tcW w:w="21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Domain Expert (Stamps &amp; Registration)</w:t>
            </w:r>
          </w:p>
        </w:tc>
        <w:tc>
          <w:tcPr>
            <w:tcW w:w="172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Department SME (≥20 yrs) for Acts, Rules, forms and fees</w:t>
            </w:r>
          </w:p>
        </w:tc>
        <w:tc>
          <w:tcPr>
            <w:tcW w:w="25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Legal fidelity of forms, fees, registers and process rules in software</w:t>
            </w:r>
          </w:p>
        </w:tc>
        <w:tc>
          <w:tcPr>
            <w:tcW w:w="208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BR workshops; design / UAT reviews</w:t>
            </w:r>
          </w:p>
        </w:tc>
        <w:tc>
          <w:tcPr>
            <w:tcW w:w="208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Domain acceptance of rules and forms implemented in Kaveri 3.0</w:t>
            </w:r>
          </w:p>
        </w:tc>
      </w:tr>
      <w:tr w:rsidR="00926D9F" w:rsidRPr="00926D9F" w:rsidTr="00926D9F">
        <w:trPr>
          <w:jc w:val="center"/>
        </w:trPr>
        <w:tc>
          <w:tcPr>
            <w:tcW w:w="21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Citizens / Applicants</w:t>
            </w:r>
          </w:p>
        </w:tc>
        <w:tc>
          <w:tcPr>
            <w:tcW w:w="172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Public end users of Kaveri portal services</w:t>
            </w:r>
          </w:p>
        </w:tc>
        <w:tc>
          <w:tcPr>
            <w:tcW w:w="25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Self-service for Marriage, Document Registration, EC, CC, Firm, Digital e-Stamp and related services</w:t>
            </w:r>
          </w:p>
        </w:tc>
        <w:tc>
          <w:tcPr>
            <w:tcW w:w="208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Portal help / KB; sampled UAT; post go-live feedback</w:t>
            </w:r>
          </w:p>
        </w:tc>
        <w:tc>
          <w:tcPr>
            <w:tcW w:w="208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None (service consumers)</w:t>
            </w:r>
          </w:p>
        </w:tc>
      </w:tr>
      <w:tr w:rsidR="00926D9F" w:rsidRPr="00926D9F" w:rsidTr="00926D9F">
        <w:trPr>
          <w:jc w:val="center"/>
        </w:trPr>
        <w:tc>
          <w:tcPr>
            <w:tcW w:w="21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DSR Officers (SR / DEO / FDA / SDA / DRO / DIGR / AIGR / HQA)</w:t>
            </w:r>
          </w:p>
        </w:tc>
        <w:tc>
          <w:tcPr>
            <w:tcW w:w="172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Departmental operational users across SRO / DRO / IGRO</w:t>
            </w:r>
          </w:p>
        </w:tc>
        <w:tc>
          <w:tcPr>
            <w:tcW w:w="25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Scrutiny, registration, DEO upload, firm/DRO workflows, MIS, audit and appeals</w:t>
            </w:r>
          </w:p>
        </w:tc>
        <w:tc>
          <w:tcPr>
            <w:tcW w:w="208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UAT; training before each phase Go-Live; hypercare support</w:t>
            </w:r>
          </w:p>
        </w:tc>
        <w:tc>
          <w:tcPr>
            <w:tcW w:w="208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Operational decisions within statutory powers (admit / refuse / pending / etc.)</w:t>
            </w:r>
          </w:p>
        </w:tc>
      </w:tr>
      <w:tr w:rsidR="00926D9F" w:rsidRPr="00926D9F" w:rsidTr="00926D9F">
        <w:trPr>
          <w:jc w:val="center"/>
        </w:trPr>
        <w:tc>
          <w:tcPr>
            <w:tcW w:w="21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Other Department users</w:t>
            </w:r>
          </w:p>
        </w:tc>
        <w:tc>
          <w:tcPr>
            <w:tcW w:w="172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Officers / staff of government departments other than DSR with assigned Kaveri access</w:t>
            </w:r>
          </w:p>
        </w:tc>
        <w:tc>
          <w:tcPr>
            <w:tcW w:w="25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Controlled access to assigned modules (e.g. Income Tax, Banking, Govt. Lawyer, Revenue)</w:t>
            </w:r>
          </w:p>
        </w:tc>
        <w:tc>
          <w:tcPr>
            <w:tcW w:w="208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Admin-provisioned accounts; targeted UAT where modules are shared</w:t>
            </w:r>
          </w:p>
        </w:tc>
        <w:tc>
          <w:tcPr>
            <w:tcW w:w="208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None beyond assigned module actions</w:t>
            </w:r>
          </w:p>
        </w:tc>
      </w:tr>
      <w:tr w:rsidR="00926D9F" w:rsidRPr="00926D9F" w:rsidTr="00926D9F">
        <w:trPr>
          <w:jc w:val="center"/>
        </w:trPr>
        <w:tc>
          <w:tcPr>
            <w:tcW w:w="21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External integration owners</w:t>
            </w:r>
          </w:p>
        </w:tc>
        <w:tc>
          <w:tcPr>
            <w:tcW w:w="172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Partner systems: e-KYC/UIDAI, Khajane, DigiLocker, eSign/DSC, Sakala, SMS/Email, Bhoomi / e-Swathu / e-Aasthi / ULMS, Kutumba, CRS, Labour, CDAC, Passport, etc.</w:t>
            </w:r>
          </w:p>
        </w:tc>
        <w:tc>
          <w:tcPr>
            <w:tcW w:w="25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Reliable authN, payment, notification, mutation and statutory-service data exchange</w:t>
            </w:r>
          </w:p>
        </w:tc>
        <w:tc>
          <w:tcPr>
            <w:tcW w:w="208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Integration war-rooms; sandbox SIT; change windows</w:t>
            </w:r>
          </w:p>
        </w:tc>
        <w:tc>
          <w:tcPr>
            <w:tcW w:w="208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Interface SLAs and change windows (jointly with DSR / SDC)</w:t>
            </w:r>
          </w:p>
        </w:tc>
      </w:tr>
      <w:tr w:rsidR="00926D9F" w:rsidRPr="00926D9F" w:rsidTr="00926D9F">
        <w:trPr>
          <w:jc w:val="center"/>
        </w:trPr>
        <w:tc>
          <w:tcPr>
            <w:tcW w:w="21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Kaveri IT Cell delivery &amp; ops</w:t>
            </w:r>
          </w:p>
        </w:tc>
        <w:tc>
          <w:tcPr>
            <w:tcW w:w="172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Architect, Tech Leads, BA, Full Stack, Integration, UI/UX, DBA, Migration, QA/Test, Perf/Security, DevOps, Security, BI, Content, Transition, L2</w:t>
            </w:r>
          </w:p>
        </w:tc>
        <w:tc>
          <w:tcPr>
            <w:tcW w:w="25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Design, build, migrate, test, deploy, observe and hypercare Kaveri 3.0</w:t>
            </w:r>
          </w:p>
        </w:tc>
        <w:tc>
          <w:tcPr>
            <w:tcW w:w="208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Architecture sync; SIT/UAT; release trains; L2 hypercare</w:t>
            </w:r>
          </w:p>
        </w:tc>
        <w:tc>
          <w:tcPr>
            <w:tcW w:w="208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Technical design within AD/NFR; release-readiness recommendation to Steering</w:t>
            </w:r>
          </w:p>
        </w:tc>
      </w:tr>
      <w:tr w:rsidR="00926D9F" w:rsidRPr="00926D9F" w:rsidTr="00926D9F">
        <w:trPr>
          <w:jc w:val="center"/>
        </w:trPr>
        <w:tc>
          <w:tcPr>
            <w:tcW w:w="21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SDC / Infrastructure operations</w:t>
            </w:r>
          </w:p>
        </w:tc>
        <w:tc>
          <w:tcPr>
            <w:tcW w:w="172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State Data Centre hosting, network (incl. KSWAN for department UI) and WAF</w:t>
            </w:r>
          </w:p>
        </w:tc>
        <w:tc>
          <w:tcPr>
            <w:tcW w:w="25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Environments (Staging/Prod), capacity, connectivity and infra change windows</w:t>
            </w:r>
          </w:p>
        </w:tc>
        <w:tc>
          <w:tcPr>
            <w:tcW w:w="208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Ops coordination; deployment and rollback windows</w:t>
            </w:r>
          </w:p>
        </w:tc>
        <w:tc>
          <w:tcPr>
            <w:tcW w:w="208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Infra capacity, network and change-window approval</w:t>
            </w:r>
          </w:p>
        </w:tc>
      </w:tr>
    </w:tbl>
    <w:p w:rsidR="00926D9F" w:rsidRDefault="00926D9F" w:rsidP="00926D9F">
      <w:pPr>
        <w:shd w:val="clear" w:color="auto" w:fill="FFFFFF"/>
        <w:spacing w:after="0" w:line="240" w:lineRule="auto"/>
        <w:rPr>
          <w:rFonts w:ascii="Arial" w:eastAsia="Times New Roman" w:hAnsi="Arial" w:cs="Arial"/>
          <w:i/>
          <w:iCs/>
          <w:color w:val="242424"/>
          <w:bdr w:val="none" w:sz="0" w:space="0" w:color="auto" w:frame="1"/>
          <w:lang w:val="en-US" w:eastAsia="en-IN"/>
        </w:rPr>
      </w:pPr>
    </w:p>
    <w:p w:rsidR="00926D9F" w:rsidRDefault="00926D9F" w:rsidP="00926D9F">
      <w:pPr>
        <w:shd w:val="clear" w:color="auto" w:fill="FFFFFF"/>
        <w:spacing w:after="0" w:line="240" w:lineRule="auto"/>
        <w:rPr>
          <w:rFonts w:ascii="Arial" w:eastAsia="Times New Roman" w:hAnsi="Arial" w:cs="Arial"/>
          <w:i/>
          <w:iCs/>
          <w:color w:val="242424"/>
          <w:bdr w:val="none" w:sz="0" w:space="0" w:color="auto" w:frame="1"/>
          <w:lang w:val="en-US" w:eastAsia="en-IN"/>
        </w:rPr>
      </w:pPr>
    </w:p>
    <w:p w:rsidR="00926D9F" w:rsidRDefault="00926D9F" w:rsidP="00926D9F">
      <w:pPr>
        <w:shd w:val="clear" w:color="auto" w:fill="FFFFFF"/>
        <w:spacing w:after="0" w:line="240" w:lineRule="auto"/>
        <w:rPr>
          <w:rFonts w:ascii="Arial" w:eastAsia="Times New Roman" w:hAnsi="Arial" w:cs="Arial"/>
          <w:i/>
          <w:iCs/>
          <w:color w:val="242424"/>
          <w:bdr w:val="none" w:sz="0" w:space="0" w:color="auto" w:frame="1"/>
          <w:lang w:val="en-US" w:eastAsia="en-IN"/>
        </w:rPr>
      </w:pPr>
    </w:p>
    <w:sectPr w:rsidR="00926D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luentSystemIcons">
    <w:altName w:val="Times New Roman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356A0F"/>
    <w:multiLevelType w:val="multilevel"/>
    <w:tmpl w:val="3C7E20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B71595A"/>
    <w:multiLevelType w:val="multilevel"/>
    <w:tmpl w:val="1D1642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8775C0D"/>
    <w:multiLevelType w:val="multilevel"/>
    <w:tmpl w:val="73B670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1F72C12"/>
    <w:multiLevelType w:val="multilevel"/>
    <w:tmpl w:val="BE5C60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26D9F"/>
    <w:rsid w:val="00037B18"/>
    <w:rsid w:val="00926D9F"/>
    <w:rsid w:val="00CB58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925641"/>
  <w15:chartTrackingRefBased/>
  <w15:docId w15:val="{0A4BAF22-5BEF-41C5-9F1F-9C48A18D3C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rsid w:val="00926D9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customStyle="1" w:styleId="xmsonormal">
    <w:name w:val="x_msonormal"/>
    <w:basedOn w:val="Normal"/>
    <w:rsid w:val="00926D9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fui-buttonicon">
    <w:name w:val="fui-button__icon"/>
    <w:basedOn w:val="DefaultParagraphFont"/>
    <w:rsid w:val="00926D9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4207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730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03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4169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308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5334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97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1675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86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4155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60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3700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87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8807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97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4491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92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6916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54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1370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92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2171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23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7416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50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8394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19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7492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93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9417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21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807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95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9296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23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3784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52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8546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80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5760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04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8017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10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9108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95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2878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21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5458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42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949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85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4688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78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6492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340</Words>
  <Characters>1940</Characters>
  <Application>Microsoft Office Word</Application>
  <DocSecurity>0</DocSecurity>
  <Lines>16</Lines>
  <Paragraphs>4</Paragraphs>
  <ScaleCrop>false</ScaleCrop>
  <Company/>
  <LinksUpToDate>false</LinksUpToDate>
  <CharactersWithSpaces>2276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2026-09-22T10:24:00Z</dcterms:created>
  <dcterms:modified xsi:type="dcterms:W3CDTF">2026-09-22T10:31:00Z</dcterms:modified>
</cp:coreProperties>
</file>