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ED4" w:rsidRDefault="00D1289F">
      <w:pPr>
        <w:spacing w:after="40"/>
      </w:pPr>
      <w:r>
        <w:rPr>
          <w:rFonts w:ascii="Calibri" w:eastAsia="Calibri" w:hAnsi="Calibri"/>
          <w:b/>
          <w:color w:val="1F4E79"/>
          <w:sz w:val="40"/>
        </w:rPr>
        <w:t>Kaveri 3.0 — IT Project Scope</w:t>
      </w:r>
    </w:p>
    <w:p w:rsidR="00FF2ED4" w:rsidRDefault="00D1289F">
      <w:pPr>
        <w:spacing w:after="40"/>
      </w:pPr>
      <w:r>
        <w:rPr>
          <w:rFonts w:ascii="Calibri" w:eastAsia="Calibri" w:hAnsi="Calibri"/>
          <w:color w:val="242424"/>
        </w:rPr>
        <w:t>Department of Stamps and Registration (DSR), Government of Karnataka</w:t>
      </w:r>
    </w:p>
    <w:p w:rsidR="00FF2ED4" w:rsidRDefault="00D1289F">
      <w:pPr>
        <w:spacing w:after="240"/>
      </w:pPr>
      <w:r>
        <w:rPr>
          <w:rFonts w:ascii="Calibri" w:hAnsi="Calibri" w:eastAsia="Calibri"/>
          <w:b w:val="0"/>
          <w:color w:val="5A6A7A"/>
          <w:sz w:val="18"/>
        </w:rPr>
        <w:t>Document version 2.1  ·  In Scope (with Actors) &amp; Key Stakeholders</w:t>
      </w:r>
    </w:p>
    <w:p w:rsidR="00037B18" w:rsidRPr="00F06DA7" w:rsidRDefault="00926D9F" w:rsidP="00037B18">
      <w:pPr>
        <w:rPr>
          <w:rFonts w:ascii="Calibri" w:eastAsia="Times New Roman" w:hAnsi="Calibri" w:cs="Calibri"/>
          <w:b/>
          <w:lang w:eastAsia="en-IN"/>
        </w:rPr>
      </w:pPr>
      <w:r>
        <w:rPr>
          <w:rFonts w:ascii="Calibri" w:eastAsia="Calibri" w:hAnsi="Calibri"/>
          <w:b/>
          <w:color w:val="1F4E79"/>
          <w:sz w:val="32"/>
        </w:rPr>
        <w:t>1. In Scope</w:t>
      </w: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</w:p>
    <w:tbl>
      <w:tblPr>
        <w:tblW w:w="992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2165"/>
        <w:gridCol w:w="6555"/>
      </w:tblGrid>
      <w:tr w:rsidR="00926D9F" w:rsidRPr="00F06DA7" w:rsidTr="00B70671">
        <w:trPr>
          <w:trHeight w:val="300"/>
          <w:tblHeader/>
          <w:jc w:val="center"/>
        </w:trPr>
        <w:tc>
          <w:tcPr>
            <w:tcW w:w="90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w="158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Scope item</w:t>
            </w:r>
          </w:p>
        </w:tc>
        <w:tc>
          <w:tcPr>
            <w:tcW w:w="4309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 / boundary</w:t>
            </w:r>
          </w:p>
        </w:tc>
        <w:tc>
          <w:tcPr>
            <w:tcW w:w="2551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Actors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IS-03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Document Registration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2 types of flows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Paper and Paperless.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Paper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ink-signed deed, physical presentation, scan &amp; store.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Paperless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digital execution (e-Sign / DSC), biometric e-KYC, digital endorsements.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Citizen pre-registration flow: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Type of Document (Sale, Mortgage, Lease,Partition, Gift, GPA, Will, etc.); Property Search (Bhoomi, e-Swathu, e-Aasthi, ULMS, etc); Property Schedule;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Market Valuation &amp; Fee Calculation ; Party Information; Document Summary; SRO Confirmation;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Payment; Appointment; Anywhere registration within sub-district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Department flow: allocation to DEO; biometrics; Aadhaar Authentication.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Register / Keep Pending / Withdraw / Refuse / Send back; Index I–II; J-slip to Bhoomi; scan &amp; digital sign.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Other Requirements : Re-registration on DR/Court order; K1/2 pending release; Will after death (Book 3); Book-I filings; exceptional cases (delay condonation, private attendance, undervaluation/impound, PoA, etc.);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Court Stay Order search &amp; display, Liability, Cross Reference, Sec. 68(2) Correction, Filing Document supporting modules.</w:t>
            </w:r>
          </w:p>
          <w:p>
            <w:pPr>
              <w:spacing w:before="0" w:after="80" w:line="240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Citizen / Applicant (parties, witnesses, PoA holder)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DEO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FDA / SDA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Sub-Registrar (SR / SRO)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District Registrar (DRO) — undervaluation, re-registration, adjudication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IGRO — appeal (where applicable)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IS-04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Market Valuation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Guideline / market value determination for stamp duty and registration fee.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Agricultural properties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GIS-based automated valuation via Bhoomi / KSRSAC attribute fetch; 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Non-agricultural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extract from the masters 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Citizen / SR ability to estimate Guidance Value, Stamp Duty and Registration Fee; Form-1 / schedule based valuation at SRO.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Article-based fee calculation integrated with Document Registration and Digital e-Stamp.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Citizen / Applicant (estimate Guidance Value, SD, RF)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Sub-Registrar (SR) — Form-1 / schedule valuation at SRO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CVC / DIGR CVC (where CVC / GIS valuation workflows apply)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IS-05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Encumbrance Certificate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EC shows registered transactions over a property (Form 22 application; Form 15 / nil Form 16).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Search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property parameters (district / taluk / hobli / village / survey / property no. / extent / boundaries); 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Kaveri-1/2 EC retrieval via Kaveri-1/2 integration.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Online application → payment → digitally signed EC (SDA / FDA / SR digital sign chain (digital signatures at multiple stages)).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Offline / department path at SRO; Index-II based generation.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Transaction EC printed as part of Document Registration completion (Form 15).</w:t>
            </w:r>
          </w:p>
          <w:p>
            <w:pPr>
              <w:spacing w:before="0" w:after="80" w:line="240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Citizen / Applicant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SDA / FDA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Sub-Registrar (SR) — digital sign chain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DEO (offline / department path at SRO,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IS-06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Certified Copy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Digitally signed copy of registered scanned document (Book-1 and related book types; Marriage / Marriage Notice as applicable, Firms).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Search by Document details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Document Type, District, SRO, Book Type (Book-1 parts, Rule 17(2)/(3), etc.), Document Number, Year.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Online application → stamp duty payment (Sec. 10A / Appendix BA) → SDA / FDA / SR digital sign → citizen download.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Suo Moto CC (Book-3 / Book-4): citizen presents original at SRO; department CC search without citizen self-service for classified books;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SDA prepare &amp; sign → FDA verify → SR approve &amp; sign → print &amp; deliver; payment mode same as Suo Moto EC.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Boundary: EC is IS-05. Firm Form-C / register extracts also available under Firm module (IS-07).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Citizen / Applicant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SDA — prepare &amp; sign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FDA — verify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Sub-Registrar (SR) — approve &amp; sign / digital sign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DEO (Suo Moto / counter path,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IS-07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Firm Registration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Services: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New Firm Registration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Amendment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firm name / principal place; other places of business; partner name / address; notice of election on attaining majority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Reconstitution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incoming / outgoing partner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Dissolution of Firm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Protest/Dispute Entry; Index Search; Certified Copy of Register of Firms entries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Online and Offline at DRO; approval by District Registrar.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Two-step: partnership / reconstitution / dissolution deed at SRO then firm filing at DRO (Indian Partnership Act, 1932).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Name uniqueness / objectionable names (Emblems and Names Act); fee, Form C, Register of Firms &amp; Index; DigiLocker e-Sign; SAKALA; Aadhaar dependency; K1/2→K3 firm migration.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Citizen / Applicant / Partners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Sub-Registrar (SRO) — partnership / reconstitution / dissolution deed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District Registrar (DRO) — firm filing approval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FDA / SDA (DRO office support, where used)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IS-08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Digital E-Stamp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Digital e-Stamp for optionally registrable articles (stamp duty payable; registration under Registration Act not compulsory).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Citizen applies on Kaveri 3.0; stamp duty calculated from article / property / location; pay via UPI / net banking / cards;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Instant unique Digital e-Stamp certificate; download digitally signed e-Stamp from dashboard.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Citizen / Applicant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IS-10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Audit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Internal Audit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DR / IGR / Regional Committee / HQA / Deputy Commissioner inspections.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External Audit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Auditor General / AG office annual inspection; Local Audit Report; Audit Para query &amp; response.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AG / auditor login creation by office head (SR / DR / ); AG email + ID card; period-based fetch of registered documents;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Request to view document details → office head approval → digitally accessible audit trail instead of manual consolidation.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Office head (SR / DR) — AG login creation &amp; document-view approval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DR / IGR / Regional Committee / HQA / Deputy Commissioner — internal audit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Auditor General / AG auditor — external audit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IS-11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External Integrations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Kaveri 3.0 shall connect to send/receive data with the following external systems (as deployed / available):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EKYC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Aadhar Verification — Real-time Aadhaar e-KYC / Face Authentication for citizen and party identity verification during registration, marriage and related flows.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Khazane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Payment systems — Government payment gateway for collection and reconciliation of stamp duty, registration fees and other statutory payments.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DigiLocker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Fetch / push of citizen documents and issued certificates (where enabled) via DigiLocker APIs.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SMS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Transactional SMS for OTP, application status, appointment and certificate / receipt notifications.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EMail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Transactional email for OTP (where used), receipts, certificates and status notifications.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Kutumba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marriage registration data.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Civil Registration System —civil-registration data exchange for marriage and linked workflows.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Labour Department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marriage registration data to avail benefits.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Sakala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Karnataka Guarantee of Services to Citizen: GSC issuance, service timelines and statutory status sync.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e-Sign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Aadhaar-based electronic signature for citizens on applications, deeds, certificates, EC/CC and related artefacts.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Eswathu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Rural non-agricultural property records: property pull and mutation / eKhata push after registration.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Eaasthi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Urban property records: property pull and mutation / eKhata push after registration.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Passport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Passport number / details validation for party identity where Passport is selected as proof of identity.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PAN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Real-time PAN authentication for parties (including mandatory checks when market / consideration value thresholds apply; Form 60/61 where PAN is unavailable).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Bhoomi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Agricultural land records: property schedule pull and mutation intimation / push after registration.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KSRSAC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Karnataka State Remote Sensing Applications Centre: GIS / map layers for valuation and spatial property support.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FRUITS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Agricultural mortgage / release filing integration and related EC / notification exchange with FRUITS.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Mogini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Survey / agri property data exchange alongside Bhoomi for property identification and mutation support.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Income Tax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— Inter-department access and data exchange for Income Tax Department use cases on Kaveri (Other Department users / approved APIs).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P.S.: External systems are owned by respective agencies; Kaveri integrates via SOAP/REST APIs / scheduled jobs.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Citizen / Applicant (consuming integrated services)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DSR Officers (SR / DEO / FDA / SDA / DRO / IGR as per module)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Other Department users (e.g. Income Tax)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External system owners (per integration row in §2)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IS-12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Reporting / Dashboard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Citizen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application status tracking, download certificates / e-Stamp / EC / CC.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Department dashboards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SR / DR / IGR worklists (scrutiny, registration, EC/CC approval, firm, audit requests).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MIS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registrations by article / book / office; revenue by mode/channel; pending / refused / withdrawn / undervaluation;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Marriage / Firm statistics; SLA / Sakala oriented views; bilingual labels where required.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Scheduled / batch jobs for reconciliation and reporting (Architecture).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The Kaveri 3.0 solution shall provide a centralized Business Intelligence, MIS and analytical reporting capability using Microsoft Power BI for public transparency, departmental performance analysis, statutory reporting, executive decision support and administrative monitoring.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80" w:line="240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Citizen / Applicant — status &amp; downloads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SR / DR / IGR — worklists &amp; MIS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AIGR / Admin — executive / statutory dashboards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BI / Analytics (Kaveri IT Cell) — Power BI packs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IS-13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Security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HTTPS enforced for all citizen and department web / API traffic (TLS end-to-end to the edge).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SSL / TLS certificates managed for public and internal endpoints; reverse proxy performs SSL offloading where deployed.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Reverse proxy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SSL offloading, rate limiting, bot blocking, load balancing.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API Gateway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authN/Z on every request, IP/route rate limits, Redis session,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Quality &amp; Security Gates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Unit Testing, SonarQube Quality Gates, SAST, Dependency Scanning, Container Image Scanning (Trivy), DAST/Security Validation for higher environments.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RBAC via User Management; department interface only on KSWAN.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Digital signatures (e-Sign/DSC) on registered documents, EC, CC, e-Stamp, firm certificates.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Reduced attack surface by not exposing internal microservices directly (API Gateway pattern).</w:t>
            </w: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Application Admin / KPMU — RBAC &amp; access policy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Security Specialist (Kaveri IT Cell)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DevOps &amp; Release Manager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SDC / Infrastructure operations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IS-14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Environment &amp; Deployment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2712B0" w:rsidRPr="00F06DA7" w:rsidRDefault="002712B0" w:rsidP="002712B0">
            <w:pPr>
              <w:pStyle w:val="NormalWeb"/>
              <w:spacing w:before="0" w:after="4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Stack: Angular SPA (Citizen Portal &amp; Department Portal); .NET Core/.NET 8 APIs; Python Services (where applicable); PostgreSQL; Redis Cache; Keycloak (SSO &amp; Identity Management).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DevOps &amp; Platform: GitLab Enterprise, GitLab Runner, GitLab Container Registry, Docker, Docker Compose, SonarQube, Gitlab contianer scanning/Trivy (Container Security Scanning), OWASP ZAP/DAST (future phase).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Environments: Development (On-Prem) → DEV (On-Prem) → QA (On-Prem) → UAT/Pre-Prod (Onprime/SDC) → Production (SDC).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Deployment units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Angular UI applications, API services, background services/jobs, Docker images, database migrations, Keycloak configurations, environment-specific configuration files and infrastructure deployment artifacts.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Deployment approach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Automated CI/CD through GitLab Enterprise; Build → Test → SonarQube → Container Build → Container Registry → Environment Deployment. DEV deployments automated through GitLab pipelines and Docker Compose; QA/UAT deployments through controlled release pipelines; Production deployments through approved release process and deployment scripts.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Post-deploy checks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Application health endpoints, service availability, database connectivity, migration validation, Redis connectivity, Keycloak authentication validation, downstream service dependencies, container health status and infrastructure monitoring checks.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Rollback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Retain stable container images and deployment artifacts; version-controlled deployment configurations; mandatory database rollback scripts for schema changes; Keycloak configuration backups; rapid rollback to previously approved application release.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Availability &amp; Downtime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Low downtime tolerance for citizen-facing and department-facing services; deployment process to support quick rollback and minimal service interruption; production releases to follow controlled deployment and recovery procedures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80" w:line="240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2712B0" w:rsidRPr="00F06DA7" w:rsidRDefault="002712B0" w:rsidP="002712B0">
            <w:pPr>
              <w:pStyle w:val="NormalWeb"/>
              <w:spacing w:before="0" w:after="4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DevOps &amp; Release Manager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Kaveri IT Cell delivery team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SDC / Infrastructure operations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IS-15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Database and Migration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PostgreSQL across services with logical domain grouping (document, marriage, Digital e-Stamp, firm, etc.); read replicas for offload the transactions.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Schemas / DBs for registration, migration, MIS, analytics, backup, marriage, firm, Digital e-stamp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Kaveri-1 compatibility</w:t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 – pending documents, EC/CC, firms, marriages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80" w:line="240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Database Administrator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Data Migration Specialist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Domain Expert (cutover / reconciliation sign-off)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Product Owner / Steering (freeze &amp; Go-Live cutover)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IS-16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Observability, Monitoring &amp; Testing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Observability present across services and environments; monitor latency-sensitive workflows and peak concurrency.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Transaction scale awareness (Doc Reg / EC / CC volumes per Architecture).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UAT / Prod release notes process under QA Files/Release_Notes.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80" w:line="240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QA / Test Engineers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Performance &amp; Security Test Lead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DevOps (observability stack)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L2 Support (hypercare monitoring)</w:t>
            </w:r>
          </w:p>
        </w:tc>
      </w:tr>
      <w:tr w:rsidR="00926D9F" w:rsidRPr="00F06DA7" w:rsidTr="00B70671">
        <w:trPr>
          <w:trHeight w:val="300"/>
          <w:jc w:val="center"/>
        </w:trPr>
        <w:tc>
          <w:tcPr>
            <w:tcW w:w="90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  <w:t>IS-17</w:t>
            </w:r>
          </w:p>
        </w:tc>
        <w:tc>
          <w:tcPr>
            <w:tcW w:w="158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  <w:t>AI</w:t>
            </w:r>
          </w:p>
        </w:tc>
        <w:tc>
          <w:tcPr>
            <w:tcW w:w="4309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AI capabilities for Kaveri 3.0 are not defined in the 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 xml:space="preserve">Any AI features (assistive drafting, classification, anomaly detection, etc.) </w:t>
            </w:r>
          </w:p>
          <w:p>
            <w:pPr>
              <w:spacing w:before="0" w:after="80" w:line="240" w:lineRule="auto"/>
              <w:jc w:val="left"/>
            </w:pPr>
          </w:p>
          <w:p>
            <w:pPr>
              <w:spacing w:before="0" w:after="80" w:line="240" w:lineRule="auto"/>
              <w:jc w:val="left"/>
            </w:pPr>
          </w:p>
        </w:tc>
        <w:tc>
          <w:tcPr>
            <w:tcW w:w="255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• Not applicable — AI scope not defined; actors TBD when requirements are approved</w:t>
            </w:r>
          </w:p>
        </w:tc>
      </w:tr>
    </w:tbl>
    <w:p w:rsidR="00926D9F" w:rsidRPr="00F06DA7" w:rsidRDefault="00926D9F" w:rsidP="00926D9F">
      <w:pPr>
        <w:shd w:val="clear" w:color="auto" w:fill="FFFFFF"/>
        <w:spacing w:before="320" w:line="240" w:lineRule="auto"/>
        <w:rPr>
          <w:rFonts w:ascii="Calibri" w:eastAsia="Times New Roman" w:hAnsi="Calibri" w:cs="Calibri"/>
          <w:color w:val="242424"/>
          <w:lang w:eastAsia="en-IN"/>
        </w:rPr>
      </w:pPr>
      <w:r>
        <w:rPr>
          <w:rFonts w:ascii="Calibri" w:eastAsia="Calibri" w:hAnsi="Calibri"/>
          <w:b/>
          <w:color w:val="1F4E79"/>
          <w:sz w:val="32"/>
        </w:rPr>
        <w:t>2. Key Stakeholders</w:t>
      </w:r>
    </w:p>
    <w:p w:rsidR="00926D9F" w:rsidRPr="00F06DA7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1814"/>
        <w:gridCol w:w="1927"/>
        <w:gridCol w:w="1814"/>
        <w:gridCol w:w="1757"/>
      </w:tblGrid>
      <w:tr w:rsidR="00926D9F" w:rsidRPr="00F06DA7" w:rsidTr="003A799F">
        <w:trPr>
          <w:tblHeader/>
          <w:jc w:val="center"/>
        </w:trPr>
        <w:tc>
          <w:tcPr>
            <w:tcW w:w="2041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Stakeholder / Group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w="192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Interest / impact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Engagement method</w:t>
            </w:r>
          </w:p>
        </w:tc>
        <w:tc>
          <w:tcPr>
            <w:tcW w:w="175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shd w:val="clear" w:color="auto" w:fill="1F4E79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</w:tcPr>
          <w:p w:rsidR="00926D9F" w:rsidRPr="00F06DA7" w:rsidRDefault="00926D9F" w:rsidP="00926D9F">
            <w:pPr>
              <w:spacing w:before="40" w:after="40" w:line="240" w:lineRule="auto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Decision authority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IGR &amp; Commissioner of Stamps / Steering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head of Department of Stamps and Registration (DSR)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3F2829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statutory compliance, phase Go-Live readiness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checklist; escalations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3F2829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Scope change / phase Go-Live approval; residual risk acceptance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AIGR (Computers) &amp; Requirements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Domain and requirements authority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3F2829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Correctness and completeness of Business Requirements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3F2829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Business Requirement workshops, daily requirement discussions with Kaveri IT Cell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BRD / domain sign-off; promote or defer scope items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KPMU / Application Admin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Programme Management Unit; system super-admin / IGR nominee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Delivery governance; designated creator roles; sanctioned posts and system-wide configuration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Steering nominee; admin / configuration workshops; UAT sign-off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Designate creator roles; sanctioned-posts master; KPMU programme decisions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Product Owner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Product ownership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B90ECE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Roadmap, backlog, and stakeholder alignment within approved scope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B90ECE" w:rsidP="00B90ECE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review; backlog refinement;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B90ECE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Prioritisation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Project Manager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Programme / project delivery management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2420D1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Plan, milestones, risks, SLA Maintenance reporting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2420D1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Daily stand-ups; risk reviews; reporting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2420D1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Schedule and mitigation; release training, coordination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Domain Expert (Stamps &amp; Registration)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0FE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Department Subject Manager Expert for Acts, Rules, forms and fees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Legal fidelity of forms, fees, registers and process rules in software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Business Requirements workshops; design / UAT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Domain acceptance of rules and forms implemented in Kaveri 3.0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Citizens / Applicants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Public end users of Kaveri portal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Self-service for Marriage, Document Registration, EC, CC, Firm, Digital e-Stamp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B22349" w:rsidP="00B22349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Portal help; post go-live feedback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B22349" w:rsidP="00B22349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DSR Officers (SR / DEO / FDA / SDA / DRO / DIGR / AIGR / HQA)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Departmental operational users across SRO / DRO / IGRO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Scrutiny, registration, DEO upload, firm/DRO workflows, MIS, audit and appeals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UAT; training before each phase Go-Live; hypercare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Operational decisions within statutory powers (admit / refuse / pending / etc.)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Other Department users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Officers / staff of government departments other than DSR with assigned Kaveri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Controlled access to assigned modules (e.g. Income Tax, Banking, Govt. Lawyer, Revenue)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Admin-provisioned accounts; targeted UAT where modules are shared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EKYC – Aadhar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Aadhaar e-KYC / identity verification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Citizen and party identity verification for registration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authN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Khazane – Payment systems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Government payment gateway / treasury payment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Fee, stamp and registration payment capture and reconciliation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reconciliation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Payment interface SLAs and change windows (jointly with DSR / Treasury)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DigiLocker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Document wallet / issued-document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Fetch / push of citizen documents and issued certificates where enabled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SMS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Transactional / OTP SMS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OTP, status and notification delivery to citizens and officers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SMS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EMail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Transactional email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OTP (where used), receipts, certificates and status notifications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Email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Kutumba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Kutumba family / household database integration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Family / household data exchange for eligible Kaveri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Civil Registration System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Civil Registration System (birth / death / related)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Civil registration data exchange for marriage and related workflows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Labour Department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Labour Department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Labour-department data exchange where mandated for registration /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 / Labour)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Sakala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Karnataka Guarantee of Services to Citizen platform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Service timelines, GSC issuance and statutory status sync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SLA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Service-timeline 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e-Sign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Aadhaar-based eSign / digital signature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Citizen eSign and officer digital signature on certificates, deeds, EC/CC and related artefacts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signing-service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Eswathu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Rural property records system (eSwathu)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Rural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Property/mutation interface SLAs and change windows (jointly with DSR / RDPR)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Eaasthi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Urban property records system (eAasthi)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Urban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Property/mutation interface SLAs and change windows (jointly with DSR / ULB)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Passport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Passport verification / related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Passport data validation for eligible Kaveri identity / party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PAN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PAN verification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PAN validation for parties where mandated (including SFT-related use where approved)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Bhoomi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Agricultural land records system (Bhoomi)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Agri property pull; mutation push after registration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Property/mutation 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KSRSAC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Karnataka State Remote Sensing Applications Centre (GIS / map services)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Map / GIS layer support for valuation and related spatial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FRUITS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FRUITS agri mortgage / release filing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Agri mortgage / release filing and related EC / notification exchange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Mogini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Mogini (survey / agri property)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Survey / agri property data exchange alongside Bhoomi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Income Tax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Income Tax Department systems /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Inter-department access and data exchange for Income Tax use cases on Kaveri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Admin provisioning; sandbox SIT where APIs apply;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/ access SLAs and change windows (jointly with DSR / ITD)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Kaveri IT Cell delivery &amp; ops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Design, build, migrate, test, deploy, observe and hypercare Kaveri 3.0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Architecture sync; release training; L2 hypercare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Technical design within NFR; release-readiness recommendation to committee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  <w:t>SDC / Infrastructure operations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State Data Centre hosting, network (incl. KSWAN for department UI) and WAF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4471B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Environments (Pre-Prod/Prod), capacity, connectivity and infra change windows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Ops coordination; deployment and rollback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</w:tcPr>
          <w:p w:rsidR="00926D9F" w:rsidRPr="00F06DA7" w:rsidRDefault="00926D9F" w:rsidP="00926D9F">
            <w:pPr>
              <w:spacing w:after="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Infra capacity, network and change-window approval</w:t>
            </w:r>
          </w:p>
        </w:tc>
      </w:tr>
    </w:tbl>
    <w:p w:rsidR="00D1289F" w:rsidRDefault="00D1289F"/>
    <w:sectPr w:rsidR="00D1289F">
      <w:pgSz w:w="11906" w:h="16838"/>
      <w:pgMar w:top="907" w:right="1020" w:bottom="907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152FF9"/>
    <w:rsid w:val="002420D1"/>
    <w:rsid w:val="00250807"/>
    <w:rsid w:val="002712B0"/>
    <w:rsid w:val="003443F5"/>
    <w:rsid w:val="003A799F"/>
    <w:rsid w:val="003C3D3A"/>
    <w:rsid w:val="003C3DB7"/>
    <w:rsid w:val="003F2829"/>
    <w:rsid w:val="004471BF"/>
    <w:rsid w:val="00551C26"/>
    <w:rsid w:val="00557DD9"/>
    <w:rsid w:val="00580BA2"/>
    <w:rsid w:val="00656580"/>
    <w:rsid w:val="006D0F54"/>
    <w:rsid w:val="00701ADC"/>
    <w:rsid w:val="00755E90"/>
    <w:rsid w:val="0084280E"/>
    <w:rsid w:val="00861E30"/>
    <w:rsid w:val="008C147C"/>
    <w:rsid w:val="009260FE"/>
    <w:rsid w:val="00926D9F"/>
    <w:rsid w:val="00A230D8"/>
    <w:rsid w:val="00A93664"/>
    <w:rsid w:val="00AF118F"/>
    <w:rsid w:val="00B22349"/>
    <w:rsid w:val="00B40563"/>
    <w:rsid w:val="00B70671"/>
    <w:rsid w:val="00B90ECE"/>
    <w:rsid w:val="00CB58BA"/>
    <w:rsid w:val="00D1289F"/>
    <w:rsid w:val="00D86C45"/>
    <w:rsid w:val="00E4441F"/>
    <w:rsid w:val="00F06DA7"/>
    <w:rsid w:val="00F14D12"/>
    <w:rsid w:val="00FC340C"/>
    <w:rsid w:val="00FF1B9B"/>
    <w:rsid w:val="00FF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0485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  <w:style w:type="paragraph" w:styleId="NormalWeb">
    <w:name w:val="Normal (Web)"/>
    <w:basedOn w:val="Normal"/>
    <w:uiPriority w:val="99"/>
    <w:semiHidden/>
    <w:unhideWhenUsed/>
    <w:rsid w:val="0027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2824</Words>
  <Characters>16103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2026-09-23T11:34:00Z</dcterms:created>
  <dcterms:modified xsi:type="dcterms:W3CDTF">2026-09-23T11:37:00Z</dcterms:modified>
</cp:coreProperties>
</file>