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F2ED4" w:rsidRDefault="00D1289F">
      <w:pPr>
        <w:spacing w:after="40"/>
      </w:pPr>
      <w:r>
        <w:rPr>
          <w:rFonts w:ascii="Calibri" w:eastAsia="Calibri" w:hAnsi="Calibri"/>
          <w:b/>
          <w:color w:val="1F4E79"/>
          <w:sz w:val="40"/>
        </w:rPr>
        <w:t>Kaveri 3.0 — IT Project Scope</w:t>
      </w:r>
    </w:p>
    <w:p w:rsidR="00FF2ED4" w:rsidRDefault="00D1289F">
      <w:pPr>
        <w:spacing w:after="40"/>
      </w:pPr>
      <w:r>
        <w:rPr>
          <w:rFonts w:ascii="Calibri" w:eastAsia="Calibri" w:hAnsi="Calibri"/>
          <w:color w:val="242424"/>
        </w:rPr>
        <w:t>Department of Stamps and Registration (DSR), Government of Karnataka</w:t>
      </w:r>
    </w:p>
    <w:p w:rsidR="00FF2ED4" w:rsidRDefault="00D1289F">
      <w:pPr>
        <w:spacing w:after="240"/>
      </w:pPr>
      <w:r>
        <w:rPr>
          <w:rFonts w:ascii="Calibri" w:hAnsi="Calibri" w:eastAsia="Calibri"/>
          <w:b w:val="0"/>
          <w:color w:val="5A6A7A"/>
          <w:sz w:val="18"/>
        </w:rPr>
        <w:t>Document version 2.2  ·  In Scope (with Actors) &amp; Key Stakeholders</w:t>
      </w:r>
    </w:p>
    <w:p w:rsidR="00037B18" w:rsidRPr="00F06DA7" w:rsidRDefault="00926D9F" w:rsidP="00037B18">
      <w:pPr>
        <w:rPr>
          <w:rFonts w:ascii="Calibri" w:eastAsia="Times New Roman" w:hAnsi="Calibri" w:cs="Calibri"/>
          <w:b/>
          <w:lang w:eastAsia="en-IN"/>
        </w:rPr>
      </w:pPr>
      <w:r>
        <w:rPr>
          <w:rFonts w:ascii="Calibri" w:eastAsia="Calibri" w:hAnsi="Calibri"/>
          <w:b/>
          <w:color w:val="1F4E79"/>
          <w:sz w:val="32"/>
        </w:rPr>
        <w:t>1. In Scope</w:t>
      </w:r>
    </w:p>
    <w:p w:rsidR="00926D9F" w:rsidRPr="00F06DA7" w:rsidRDefault="00926D9F" w:rsidP="00926D9F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42424"/>
          <w:lang w:eastAsia="en-IN"/>
        </w:rPr>
      </w:pPr>
    </w:p>
    <w:tbl>
      <w:tblPr>
        <w:tblW w:w="9923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2"/>
        <w:gridCol w:w="1684"/>
        <w:gridCol w:w="4571"/>
        <w:gridCol w:w="2706"/>
      </w:tblGrid>
      <w:tr w:rsidR="00926D9F" w:rsidRPr="00F06DA7" w:rsidTr="00B70671">
        <w:trPr>
          <w:trHeight w:val="300"/>
          <w:tblHeader/>
          <w:jc w:val="center"/>
        </w:trPr>
        <w:tc>
          <w:tcPr>
            <w:tcW w:w="907" w:type="dxa"/>
            <w:tcBorders>
              <w:top w:val="single" w:sz="6" w:space="0" w:color="163A5F"/>
              <w:left w:val="single" w:sz="6" w:space="0" w:color="163A5F"/>
              <w:bottom w:val="single" w:sz="6" w:space="0" w:color="163A5F"/>
              <w:right w:val="single" w:sz="6" w:space="0" w:color="163A5F"/>
            </w:tcBorders>
            <w:shd w:val="clear" w:color="auto" w:fill="1F4E79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  <w:hideMark/>
          </w:tcPr>
          <w:p w:rsidR="00926D9F" w:rsidRPr="00F06DA7" w:rsidRDefault="00926D9F" w:rsidP="00926D9F">
            <w:pPr>
              <w:spacing w:before="40" w:after="40" w:line="240" w:lineRule="auto"/>
              <w:jc w:val="center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b/>
                <w:color w:val="FFFFFF"/>
                <w:sz w:val="18"/>
              </w:rPr>
              <w:t>ID</w:t>
            </w:r>
          </w:p>
        </w:tc>
        <w:tc>
          <w:tcPr>
            <w:tcW w:w="1587" w:type="dxa"/>
            <w:tcBorders>
              <w:top w:val="single" w:sz="6" w:space="0" w:color="163A5F"/>
              <w:left w:val="single" w:sz="6" w:space="0" w:color="163A5F"/>
              <w:bottom w:val="single" w:sz="6" w:space="0" w:color="163A5F"/>
              <w:right w:val="single" w:sz="6" w:space="0" w:color="163A5F"/>
            </w:tcBorders>
            <w:shd w:val="clear" w:color="auto" w:fill="1F4E79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  <w:hideMark/>
          </w:tcPr>
          <w:p w:rsidR="00926D9F" w:rsidRPr="00F06DA7" w:rsidRDefault="00926D9F" w:rsidP="00926D9F">
            <w:pPr>
              <w:spacing w:before="40" w:after="40" w:line="240" w:lineRule="auto"/>
              <w:jc w:val="center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b/>
                <w:color w:val="FFFFFF"/>
                <w:sz w:val="18"/>
              </w:rPr>
              <w:t>Scope item</w:t>
            </w:r>
          </w:p>
        </w:tc>
        <w:tc>
          <w:tcPr>
            <w:tcW w:w="4309" w:type="dxa"/>
            <w:tcBorders>
              <w:top w:val="single" w:sz="6" w:space="0" w:color="163A5F"/>
              <w:left w:val="single" w:sz="6" w:space="0" w:color="163A5F"/>
              <w:bottom w:val="single" w:sz="6" w:space="0" w:color="163A5F"/>
              <w:right w:val="single" w:sz="6" w:space="0" w:color="163A5F"/>
            </w:tcBorders>
            <w:shd w:val="clear" w:color="auto" w:fill="1F4E79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  <w:hideMark/>
          </w:tcPr>
          <w:p w:rsidR="00926D9F" w:rsidRPr="00F06DA7" w:rsidRDefault="00926D9F" w:rsidP="00926D9F">
            <w:pPr>
              <w:spacing w:before="40" w:after="40" w:line="240" w:lineRule="auto"/>
              <w:jc w:val="center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b/>
                <w:color w:val="FFFFFF"/>
                <w:sz w:val="18"/>
              </w:rPr>
              <w:t>Description / boundary</w:t>
            </w:r>
          </w:p>
        </w:tc>
        <w:tc>
          <w:tcPr>
            <w:tcW w:w="2551" w:type="dxa"/>
            <w:tcBorders>
              <w:top w:val="single" w:sz="6" w:space="0" w:color="163A5F"/>
              <w:left w:val="single" w:sz="6" w:space="0" w:color="163A5F"/>
              <w:bottom w:val="single" w:sz="6" w:space="0" w:color="163A5F"/>
              <w:right w:val="single" w:sz="6" w:space="0" w:color="163A5F"/>
            </w:tcBorders>
            <w:shd w:val="clear" w:color="auto" w:fill="1F4E79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  <w:hideMark/>
          </w:tcPr>
          <w:p w:rsidR="00926D9F" w:rsidRPr="00F06DA7" w:rsidRDefault="00926D9F" w:rsidP="00926D9F">
            <w:pPr>
              <w:spacing w:before="40" w:after="40" w:line="240" w:lineRule="auto"/>
              <w:jc w:val="center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b/>
                <w:color w:val="FFFFFF"/>
                <w:sz w:val="18"/>
              </w:rPr>
              <w:t>Actors</w:t>
            </w:r>
          </w:p>
        </w:tc>
      </w:tr>
      <w:tr w:rsidR="00926D9F" w:rsidRPr="00F06DA7" w:rsidTr="00B70671">
        <w:trPr>
          <w:trHeight w:val="300"/>
          <w:jc w:val="center"/>
        </w:trPr>
        <w:tc>
          <w:tcPr>
            <w:tcW w:w="90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b/>
                <w:color w:val="1F4E79"/>
                <w:sz w:val="18"/>
              </w:rPr>
              <w:t>IS-03</w:t>
            </w:r>
          </w:p>
        </w:tc>
        <w:tc>
          <w:tcPr>
            <w:tcW w:w="158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b/>
                <w:color w:val="242424"/>
                <w:sz w:val="18"/>
              </w:rPr>
              <w:t>Document Registration</w:t>
            </w:r>
          </w:p>
        </w:tc>
        <w:tc>
          <w:tcPr>
            <w:tcW w:w="4309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4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b/>
                <w:color w:val="1F4E79"/>
                <w:sz w:val="16"/>
              </w:rPr>
              <w:t>2 types of flows</w:t>
            </w:r>
            <w:r>
              <w:rPr>
                <w:rFonts w:ascii="Calibri" w:eastAsia="Calibri" w:hAnsi="Calibri"/>
                <w:color w:val="242424"/>
                <w:sz w:val="16"/>
              </w:rPr>
              <w:t xml:space="preserve"> – Paper and Paperless.</w:t>
            </w: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b/>
                <w:color w:val="1F4E79"/>
                <w:sz w:val="16"/>
              </w:rPr>
              <w:t>Paper</w:t>
            </w:r>
            <w:r>
              <w:rPr>
                <w:rFonts w:ascii="Calibri" w:eastAsia="Calibri" w:hAnsi="Calibri"/>
                <w:color w:val="242424"/>
                <w:sz w:val="16"/>
              </w:rPr>
              <w:t xml:space="preserve"> – ink-signed deed, physical presentation, scan &amp; store.</w:t>
            </w: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b/>
                <w:color w:val="1F4E79"/>
                <w:sz w:val="16"/>
              </w:rPr>
              <w:t>Paperless</w:t>
            </w:r>
            <w:r>
              <w:rPr>
                <w:rFonts w:ascii="Calibri" w:eastAsia="Calibri" w:hAnsi="Calibri"/>
                <w:color w:val="242424"/>
                <w:sz w:val="16"/>
              </w:rPr>
              <w:t xml:space="preserve"> – digital execution (e-Sign / DSC), biometric e-KYC, digital endorsements.</w:t>
            </w:r>
          </w:p>
          <w:p w:rsidR="00C43098" w:rsidRDefault="00C43098">
            <w:pPr>
              <w:spacing w:after="80" w:line="240" w:lineRule="auto"/>
            </w:pP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color w:val="242424"/>
                <w:sz w:val="16"/>
              </w:rPr>
              <w:t>Citizen pre-registration flow:</w:t>
            </w: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color w:val="242424"/>
                <w:sz w:val="16"/>
              </w:rPr>
              <w:t xml:space="preserve">Type of Document (Sale, Mortgage, </w:t>
            </w:r>
            <w:r>
              <w:rPr>
                <w:rFonts w:ascii="Calibri" w:eastAsia="Calibri" w:hAnsi="Calibri"/>
                <w:color w:val="242424"/>
                <w:sz w:val="16"/>
              </w:rPr>
              <w:t>Lease,Partition, Gift, GPA, Will, etc.); Property Search (Bhoomi, e-Swathu, e-Aasthi, ULMS, etc); Property Schedule;</w:t>
            </w: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color w:val="242424"/>
                <w:sz w:val="16"/>
              </w:rPr>
              <w:t>Market Valuation &amp; Fee Calculation ; Party Information; Document Summary; SRO Confirmation;</w:t>
            </w: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color w:val="242424"/>
                <w:sz w:val="16"/>
              </w:rPr>
              <w:t>Payment; Appointment; Anywhere registration wit</w:t>
            </w:r>
            <w:r>
              <w:rPr>
                <w:rFonts w:ascii="Calibri" w:eastAsia="Calibri" w:hAnsi="Calibri"/>
                <w:color w:val="242424"/>
                <w:sz w:val="16"/>
              </w:rPr>
              <w:t>hin sub-district</w:t>
            </w:r>
          </w:p>
          <w:p w:rsidR="00C43098" w:rsidRDefault="00C43098">
            <w:pPr>
              <w:spacing w:after="80" w:line="240" w:lineRule="auto"/>
            </w:pP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color w:val="242424"/>
                <w:sz w:val="16"/>
              </w:rPr>
              <w:t>Department flow: allocation to DEO; biometrics; Aadhaar Authentication.</w:t>
            </w: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color w:val="242424"/>
                <w:sz w:val="16"/>
              </w:rPr>
              <w:t>Register / Keep Pending / Withdraw / Refuse / Send back; Index I–II; J-slip to Bhoomi; scan &amp; digital sign.</w:t>
            </w:r>
          </w:p>
          <w:p w:rsidR="00C43098" w:rsidRDefault="00C43098">
            <w:pPr>
              <w:spacing w:after="80" w:line="240" w:lineRule="auto"/>
            </w:pP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color w:val="242424"/>
                <w:sz w:val="16"/>
              </w:rPr>
              <w:t>Other Requirements : Re-registration on DR/Court order; K</w:t>
            </w:r>
            <w:r>
              <w:rPr>
                <w:rFonts w:ascii="Calibri" w:eastAsia="Calibri" w:hAnsi="Calibri"/>
                <w:color w:val="242424"/>
                <w:sz w:val="16"/>
              </w:rPr>
              <w:t>1/2 pending release; Will after death (Book 3); Book-I filings; exceptional cases (delay condonation, private attendance, undervaluation/impound, PoA, etc.);</w:t>
            </w: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color w:val="242424"/>
                <w:sz w:val="16"/>
              </w:rPr>
              <w:t>Court Stay Order search &amp; display, Liability, Cross Reference, Sec. 68(2) Correction, Filing Docum</w:t>
            </w:r>
            <w:r>
              <w:rPr>
                <w:rFonts w:ascii="Calibri" w:eastAsia="Calibri" w:hAnsi="Calibri"/>
                <w:color w:val="242424"/>
                <w:sz w:val="16"/>
              </w:rPr>
              <w:t>ent supporting modules.</w:t>
            </w:r>
          </w:p>
          <w:p w:rsidR="00C43098" w:rsidRDefault="00C43098">
            <w:pPr>
              <w:spacing w:after="80" w:line="240" w:lineRule="auto"/>
            </w:pPr>
          </w:p>
        </w:tc>
        <w:tc>
          <w:tcPr>
            <w:tcW w:w="2551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4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• Citizen / Applicant (parties, witnesses, PoA holder)</w:t>
            </w: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color w:val="242424"/>
                <w:sz w:val="16"/>
              </w:rPr>
              <w:t>• DEO</w:t>
            </w: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color w:val="242424"/>
                <w:sz w:val="16"/>
              </w:rPr>
              <w:t>• FDA / SDA</w:t>
            </w: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color w:val="242424"/>
                <w:sz w:val="16"/>
              </w:rPr>
              <w:t>• Sub-Registrar (SR / SRO)</w:t>
            </w: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color w:val="242424"/>
                <w:sz w:val="16"/>
              </w:rPr>
              <w:t>• District Registrar (DRO) — undervaluation, re-registration, adjudication</w:t>
            </w: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color w:val="242424"/>
                <w:sz w:val="16"/>
              </w:rPr>
              <w:t>• IGRO — appeal (where applicable)</w:t>
            </w:r>
          </w:p>
        </w:tc>
      </w:tr>
      <w:tr w:rsidR="00926D9F" w:rsidRPr="00F06DA7" w:rsidTr="00B70671">
        <w:trPr>
          <w:trHeight w:val="300"/>
          <w:jc w:val="center"/>
        </w:trPr>
        <w:tc>
          <w:tcPr>
            <w:tcW w:w="90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b/>
                <w:color w:val="1F4E79"/>
                <w:sz w:val="18"/>
              </w:rPr>
              <w:t>IS-04</w:t>
            </w:r>
          </w:p>
        </w:tc>
        <w:tc>
          <w:tcPr>
            <w:tcW w:w="158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b/>
                <w:color w:val="242424"/>
                <w:sz w:val="18"/>
              </w:rPr>
              <w:t>Market Valuation</w:t>
            </w:r>
          </w:p>
        </w:tc>
        <w:tc>
          <w:tcPr>
            <w:tcW w:w="4309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40" w:line="240" w:lineRule="auto"/>
              <w:rPr>
                <w:rFonts w:ascii="Calibri" w:hAnsi="Calibri" w:cs="Calibri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Guideline / market value determination for stamp duty and registration fee.</w:t>
            </w:r>
          </w:p>
          <w:p w:rsidR="00C43098" w:rsidRDefault="00C43098">
            <w:pPr>
              <w:spacing w:after="80" w:line="240" w:lineRule="auto"/>
            </w:pP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b/>
                <w:color w:val="1F4E79"/>
                <w:sz w:val="16"/>
              </w:rPr>
              <w:t>Agricultural properties</w:t>
            </w:r>
            <w:r>
              <w:rPr>
                <w:rFonts w:ascii="Calibri" w:eastAsia="Calibri" w:hAnsi="Calibri"/>
                <w:color w:val="242424"/>
                <w:sz w:val="16"/>
              </w:rPr>
              <w:t xml:space="preserve"> – GIS-based automated valuation via Bhoomi / KSRSAC attribute fetch; </w:t>
            </w: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b/>
                <w:color w:val="1F4E79"/>
                <w:sz w:val="16"/>
              </w:rPr>
              <w:t>Non-agricultural</w:t>
            </w:r>
            <w:r>
              <w:rPr>
                <w:rFonts w:ascii="Calibri" w:eastAsia="Calibri" w:hAnsi="Calibri"/>
                <w:color w:val="242424"/>
                <w:sz w:val="16"/>
              </w:rPr>
              <w:t xml:space="preserve"> – extract from the masters </w:t>
            </w: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color w:val="242424"/>
                <w:sz w:val="16"/>
              </w:rPr>
              <w:t xml:space="preserve">Citizen / SR ability to </w:t>
            </w:r>
            <w:r>
              <w:rPr>
                <w:rFonts w:ascii="Calibri" w:eastAsia="Calibri" w:hAnsi="Calibri"/>
                <w:color w:val="242424"/>
                <w:sz w:val="16"/>
              </w:rPr>
              <w:t>estimate Guidance Value, Stamp Duty and Registration Fee; Form-1 / schedule based valuation at SRO.</w:t>
            </w: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color w:val="242424"/>
                <w:sz w:val="16"/>
              </w:rPr>
              <w:t>Article-based fee calculation integrated with Document Registration and Digital e-Stamp.</w:t>
            </w:r>
          </w:p>
        </w:tc>
        <w:tc>
          <w:tcPr>
            <w:tcW w:w="2551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40" w:line="240" w:lineRule="auto"/>
              <w:rPr>
                <w:rFonts w:ascii="Calibri" w:hAnsi="Calibri" w:cs="Calibri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• Citizen / Applicant (estimate Guidance Value, SD, RF)</w:t>
            </w: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color w:val="242424"/>
                <w:sz w:val="16"/>
              </w:rPr>
              <w:t>• Sub-Regis</w:t>
            </w:r>
            <w:r>
              <w:rPr>
                <w:rFonts w:ascii="Calibri" w:eastAsia="Calibri" w:hAnsi="Calibri"/>
                <w:color w:val="242424"/>
                <w:sz w:val="16"/>
              </w:rPr>
              <w:t>trar (SR) — Form-1 / schedule valuation at SRO</w:t>
            </w: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color w:val="242424"/>
                <w:sz w:val="16"/>
              </w:rPr>
              <w:t>• CVC / DIGR CVC (where CVC / GIS valuation workflows apply)</w:t>
            </w:r>
          </w:p>
        </w:tc>
      </w:tr>
      <w:tr w:rsidR="00926D9F" w:rsidRPr="00F06DA7" w:rsidTr="00B70671">
        <w:trPr>
          <w:trHeight w:val="300"/>
          <w:jc w:val="center"/>
        </w:trPr>
        <w:tc>
          <w:tcPr>
            <w:tcW w:w="90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b/>
                <w:color w:val="1F4E79"/>
                <w:sz w:val="18"/>
              </w:rPr>
              <w:t>IS-05</w:t>
            </w:r>
          </w:p>
        </w:tc>
        <w:tc>
          <w:tcPr>
            <w:tcW w:w="158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b/>
                <w:color w:val="242424"/>
                <w:sz w:val="18"/>
              </w:rPr>
              <w:t>Encumbrance Certificate</w:t>
            </w:r>
          </w:p>
        </w:tc>
        <w:tc>
          <w:tcPr>
            <w:tcW w:w="4309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40" w:line="240" w:lineRule="auto"/>
              <w:rPr>
                <w:rFonts w:ascii="Calibri" w:hAnsi="Calibri" w:cs="Calibri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EC shows registered transactions over a property (Form 22 application; Form 15 / nil Form 16).</w:t>
            </w:r>
          </w:p>
          <w:p w:rsidR="00C43098" w:rsidRDefault="00C43098">
            <w:pPr>
              <w:spacing w:after="80" w:line="240" w:lineRule="auto"/>
            </w:pP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b/>
                <w:color w:val="1F4E79"/>
                <w:sz w:val="16"/>
              </w:rPr>
              <w:t>Search</w:t>
            </w:r>
            <w:r>
              <w:rPr>
                <w:rFonts w:ascii="Calibri" w:eastAsia="Calibri" w:hAnsi="Calibri"/>
                <w:color w:val="242424"/>
                <w:sz w:val="16"/>
              </w:rPr>
              <w:t xml:space="preserve"> – property parameters (district / taluk / hobli / village / survey / property no. / extent / boundaries); </w:t>
            </w: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color w:val="242424"/>
                <w:sz w:val="16"/>
              </w:rPr>
              <w:t>Kaveri-1/2 EC retrieval via Kaveri-1/2 integration.</w:t>
            </w:r>
          </w:p>
          <w:p w:rsidR="00C43098" w:rsidRDefault="00C43098">
            <w:pPr>
              <w:spacing w:after="80" w:line="240" w:lineRule="auto"/>
            </w:pP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color w:val="242424"/>
                <w:sz w:val="16"/>
              </w:rPr>
              <w:t xml:space="preserve">Online application → payment → digitally signed EC (SDA / FDA / SR digital sign chain (digital </w:t>
            </w:r>
            <w:r>
              <w:rPr>
                <w:rFonts w:ascii="Calibri" w:eastAsia="Calibri" w:hAnsi="Calibri"/>
                <w:color w:val="242424"/>
                <w:sz w:val="16"/>
              </w:rPr>
              <w:t>signatures at multiple stages)).</w:t>
            </w: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color w:val="242424"/>
                <w:sz w:val="16"/>
              </w:rPr>
              <w:t>Offline / department path at SRO; Index-II based generation.</w:t>
            </w: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color w:val="242424"/>
                <w:sz w:val="16"/>
              </w:rPr>
              <w:t>Transaction EC printed as part of Document Registration completion (Form 15).</w:t>
            </w:r>
          </w:p>
          <w:p w:rsidR="00C43098" w:rsidRDefault="00C43098">
            <w:pPr>
              <w:spacing w:after="80" w:line="240" w:lineRule="auto"/>
            </w:pPr>
          </w:p>
        </w:tc>
        <w:tc>
          <w:tcPr>
            <w:tcW w:w="2551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40" w:line="240" w:lineRule="auto"/>
              <w:rPr>
                <w:rFonts w:ascii="Calibri" w:hAnsi="Calibri" w:cs="Calibri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• Citizen / Applicant</w:t>
            </w:r>
          </w:p>
          <w:p w:rsidR="00BF3835" w:rsidRDefault="00BF3835" w:rsidP="00BF3835">
            <w:pPr>
              <w:spacing w:after="40" w:line="240" w:lineRule="auto"/>
            </w:pPr>
            <w:r>
              <w:rPr>
                <w:rFonts w:ascii="Calibri" w:eastAsia="Calibri" w:hAnsi="Calibri"/>
                <w:color w:val="242424"/>
                <w:sz w:val="16"/>
              </w:rPr>
              <w:t>• SDA — prepare &amp; sign</w:t>
            </w:r>
          </w:p>
          <w:p w:rsidR="00BF3835" w:rsidRDefault="00BF3835" w:rsidP="00BF3835">
            <w:pPr>
              <w:spacing w:after="40" w:line="240" w:lineRule="auto"/>
            </w:pPr>
            <w:r>
              <w:rPr>
                <w:rFonts w:ascii="Calibri" w:eastAsia="Calibri" w:hAnsi="Calibri"/>
                <w:color w:val="242424"/>
                <w:sz w:val="16"/>
              </w:rPr>
              <w:t>• FDA — verify</w:t>
            </w: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color w:val="242424"/>
                <w:sz w:val="16"/>
              </w:rPr>
              <w:t>• Sub-Registrar (SR) — digital sign chain</w:t>
            </w: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color w:val="242424"/>
                <w:sz w:val="16"/>
              </w:rPr>
              <w:t>• DEO (</w:t>
            </w:r>
            <w:r>
              <w:rPr>
                <w:rFonts w:ascii="Calibri" w:eastAsia="Calibri" w:hAnsi="Calibri"/>
                <w:color w:val="242424"/>
                <w:sz w:val="16"/>
              </w:rPr>
              <w:t>offline / department path at SRO, where used)</w:t>
            </w:r>
          </w:p>
        </w:tc>
      </w:tr>
      <w:tr w:rsidR="00926D9F" w:rsidRPr="00F06DA7" w:rsidTr="00B70671">
        <w:trPr>
          <w:trHeight w:val="300"/>
          <w:jc w:val="center"/>
        </w:trPr>
        <w:tc>
          <w:tcPr>
            <w:tcW w:w="90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b/>
                <w:color w:val="1F4E79"/>
                <w:sz w:val="18"/>
              </w:rPr>
              <w:lastRenderedPageBreak/>
              <w:t>IS-06</w:t>
            </w:r>
          </w:p>
        </w:tc>
        <w:tc>
          <w:tcPr>
            <w:tcW w:w="158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b/>
                <w:color w:val="242424"/>
                <w:sz w:val="18"/>
              </w:rPr>
              <w:t>Certified Copy</w:t>
            </w:r>
          </w:p>
        </w:tc>
        <w:tc>
          <w:tcPr>
            <w:tcW w:w="4309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4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Digitally signed copy of registered scanned document (Book-1 and related book types; Marriage / Marriage Notice as applicable, Firms).</w:t>
            </w: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b/>
                <w:color w:val="1F4E79"/>
                <w:sz w:val="16"/>
              </w:rPr>
              <w:t>Search by Document details</w:t>
            </w:r>
            <w:r>
              <w:rPr>
                <w:rFonts w:ascii="Calibri" w:eastAsia="Calibri" w:hAnsi="Calibri"/>
                <w:color w:val="242424"/>
                <w:sz w:val="16"/>
              </w:rPr>
              <w:t xml:space="preserve"> – Document Type, District, SRO, Book Type (Book-1 parts, Rule 17(2)/(3), etc.), Document Number, Year.</w:t>
            </w: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color w:val="242424"/>
                <w:sz w:val="16"/>
              </w:rPr>
              <w:t>Online application → stamp duty payment (Sec. 10A / Appendix BA) → SDA / FDA / SR digital sign → citizen download.</w:t>
            </w:r>
          </w:p>
          <w:p w:rsidR="00C43098" w:rsidRDefault="00C43098">
            <w:pPr>
              <w:spacing w:after="80" w:line="240" w:lineRule="auto"/>
            </w:pP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color w:val="242424"/>
                <w:sz w:val="16"/>
              </w:rPr>
              <w:t xml:space="preserve">Suo Moto CC (Book-3 / Book-4): </w:t>
            </w:r>
            <w:r>
              <w:rPr>
                <w:rFonts w:ascii="Calibri" w:eastAsia="Calibri" w:hAnsi="Calibri"/>
                <w:color w:val="242424"/>
                <w:sz w:val="16"/>
              </w:rPr>
              <w:t>citizen presents original at SRO; department CC search without citizen self-service for classified books;</w:t>
            </w: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color w:val="242424"/>
                <w:sz w:val="16"/>
              </w:rPr>
              <w:t>SDA prepare &amp; sign → FDA verify → SR approve &amp; sign → print &amp; deliver; payment mode same as Suo Moto EC.</w:t>
            </w:r>
          </w:p>
          <w:p w:rsidR="00C43098" w:rsidRDefault="00C43098">
            <w:pPr>
              <w:spacing w:after="80" w:line="240" w:lineRule="auto"/>
            </w:pP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color w:val="242424"/>
                <w:sz w:val="16"/>
              </w:rPr>
              <w:t>Boundary: EC is IS-05. Firm Form-C / registe</w:t>
            </w:r>
            <w:r>
              <w:rPr>
                <w:rFonts w:ascii="Calibri" w:eastAsia="Calibri" w:hAnsi="Calibri"/>
                <w:color w:val="242424"/>
                <w:sz w:val="16"/>
              </w:rPr>
              <w:t>r extracts also available under Firm module (IS-07).</w:t>
            </w:r>
          </w:p>
        </w:tc>
        <w:tc>
          <w:tcPr>
            <w:tcW w:w="2551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4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• Citizen / Applicant</w:t>
            </w: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color w:val="242424"/>
                <w:sz w:val="16"/>
              </w:rPr>
              <w:t>• SDA — prepare &amp; sign</w:t>
            </w: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color w:val="242424"/>
                <w:sz w:val="16"/>
              </w:rPr>
              <w:t>• FDA — verify</w:t>
            </w: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color w:val="242424"/>
                <w:sz w:val="16"/>
              </w:rPr>
              <w:t>• Sub-Registrar (SR) — approve &amp; sign / digital sign</w:t>
            </w: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color w:val="242424"/>
                <w:sz w:val="16"/>
              </w:rPr>
              <w:t>• DEO (Suo Moto / counter path, where used)</w:t>
            </w:r>
          </w:p>
        </w:tc>
      </w:tr>
      <w:tr w:rsidR="00926D9F" w:rsidRPr="00F06DA7" w:rsidTr="00B70671">
        <w:trPr>
          <w:trHeight w:val="300"/>
          <w:jc w:val="center"/>
        </w:trPr>
        <w:tc>
          <w:tcPr>
            <w:tcW w:w="90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b/>
                <w:color w:val="1F4E79"/>
                <w:sz w:val="18"/>
              </w:rPr>
              <w:t>IS-07</w:t>
            </w:r>
          </w:p>
        </w:tc>
        <w:tc>
          <w:tcPr>
            <w:tcW w:w="158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b/>
                <w:color w:val="242424"/>
                <w:sz w:val="18"/>
              </w:rPr>
              <w:t>Firm Registration</w:t>
            </w:r>
          </w:p>
        </w:tc>
        <w:tc>
          <w:tcPr>
            <w:tcW w:w="4309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4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Services:</w:t>
            </w: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color w:val="242424"/>
                <w:sz w:val="16"/>
              </w:rPr>
              <w:t xml:space="preserve">New Firm </w:t>
            </w:r>
            <w:r>
              <w:rPr>
                <w:rFonts w:ascii="Calibri" w:eastAsia="Calibri" w:hAnsi="Calibri"/>
                <w:color w:val="242424"/>
                <w:sz w:val="16"/>
              </w:rPr>
              <w:t>Registration</w:t>
            </w: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b/>
                <w:color w:val="1F4E79"/>
                <w:sz w:val="16"/>
              </w:rPr>
              <w:t>Amendment</w:t>
            </w:r>
            <w:r>
              <w:rPr>
                <w:rFonts w:ascii="Calibri" w:eastAsia="Calibri" w:hAnsi="Calibri"/>
                <w:color w:val="242424"/>
                <w:sz w:val="16"/>
              </w:rPr>
              <w:t xml:space="preserve"> – firm name / principal place; other places of business; partner name / address; notice of election on attaining majority</w:t>
            </w: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b/>
                <w:color w:val="1F4E79"/>
                <w:sz w:val="16"/>
              </w:rPr>
              <w:t>Reconstitution</w:t>
            </w:r>
            <w:r>
              <w:rPr>
                <w:rFonts w:ascii="Calibri" w:eastAsia="Calibri" w:hAnsi="Calibri"/>
                <w:color w:val="242424"/>
                <w:sz w:val="16"/>
              </w:rPr>
              <w:t xml:space="preserve"> – incoming / outgoing partner</w:t>
            </w: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color w:val="242424"/>
                <w:sz w:val="16"/>
              </w:rPr>
              <w:t>Dissolution of Firm</w:t>
            </w: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color w:val="242424"/>
                <w:sz w:val="16"/>
              </w:rPr>
              <w:t>Protest/Dispute Entry; Index Search; Certified</w:t>
            </w:r>
            <w:r>
              <w:rPr>
                <w:rFonts w:ascii="Calibri" w:eastAsia="Calibri" w:hAnsi="Calibri"/>
                <w:color w:val="242424"/>
                <w:sz w:val="16"/>
              </w:rPr>
              <w:t xml:space="preserve"> Copy of Register of Firms entries</w:t>
            </w:r>
          </w:p>
          <w:p w:rsidR="00C43098" w:rsidRDefault="00C43098">
            <w:pPr>
              <w:spacing w:after="80" w:line="240" w:lineRule="auto"/>
            </w:pP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color w:val="242424"/>
                <w:sz w:val="16"/>
              </w:rPr>
              <w:t>Online and Offline at DRO; approval by District Registrar.</w:t>
            </w: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color w:val="242424"/>
                <w:sz w:val="16"/>
              </w:rPr>
              <w:t>Two-step: partnership / reconstitution / dissolution deed at SRO then firm filing at DRO (Indian Partnership Act, 1932).</w:t>
            </w: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color w:val="242424"/>
                <w:sz w:val="16"/>
              </w:rPr>
              <w:t>Name uniqueness / objectionable names (E</w:t>
            </w:r>
            <w:r>
              <w:rPr>
                <w:rFonts w:ascii="Calibri" w:eastAsia="Calibri" w:hAnsi="Calibri"/>
                <w:color w:val="242424"/>
                <w:sz w:val="16"/>
              </w:rPr>
              <w:t>mblems and Names Act); fee, Form C, Register of Firms &amp; Index; DigiLocker e-Sign; SAKALA; Aadhaar dependency; K1/2→K3 firm migration.</w:t>
            </w:r>
          </w:p>
        </w:tc>
        <w:tc>
          <w:tcPr>
            <w:tcW w:w="2551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4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• Citizen / Applicant / Partners</w:t>
            </w: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color w:val="242424"/>
                <w:sz w:val="16"/>
              </w:rPr>
              <w:t>• Sub-Registrar (SRO) — partnership / reconstitution / dissolution deed</w:t>
            </w: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color w:val="242424"/>
                <w:sz w:val="16"/>
              </w:rPr>
              <w:t>• District Regist</w:t>
            </w:r>
            <w:r>
              <w:rPr>
                <w:rFonts w:ascii="Calibri" w:eastAsia="Calibri" w:hAnsi="Calibri"/>
                <w:color w:val="242424"/>
                <w:sz w:val="16"/>
              </w:rPr>
              <w:t>rar (DRO) — firm filing approval</w:t>
            </w: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color w:val="242424"/>
                <w:sz w:val="16"/>
              </w:rPr>
              <w:t>• FDA / SDA (DRO office support, where used)</w:t>
            </w:r>
          </w:p>
        </w:tc>
      </w:tr>
      <w:tr w:rsidR="00926D9F" w:rsidRPr="00F06DA7" w:rsidTr="00B70671">
        <w:trPr>
          <w:trHeight w:val="300"/>
          <w:jc w:val="center"/>
        </w:trPr>
        <w:tc>
          <w:tcPr>
            <w:tcW w:w="90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b/>
                <w:color w:val="1F4E79"/>
                <w:sz w:val="18"/>
              </w:rPr>
              <w:t>IS-08</w:t>
            </w:r>
          </w:p>
        </w:tc>
        <w:tc>
          <w:tcPr>
            <w:tcW w:w="158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b/>
                <w:color w:val="242424"/>
                <w:sz w:val="18"/>
              </w:rPr>
              <w:t>Digital E-Stamp</w:t>
            </w:r>
          </w:p>
        </w:tc>
        <w:tc>
          <w:tcPr>
            <w:tcW w:w="4309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4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Digital e-Stamp for optionally registrable articles (stamp duty payable; registration under Registration Act not compulsory).</w:t>
            </w: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color w:val="242424"/>
                <w:sz w:val="16"/>
              </w:rPr>
              <w:t xml:space="preserve">Citizen applies on Kaveri </w:t>
            </w:r>
            <w:r>
              <w:rPr>
                <w:rFonts w:ascii="Calibri" w:eastAsia="Calibri" w:hAnsi="Calibri"/>
                <w:color w:val="242424"/>
                <w:sz w:val="16"/>
              </w:rPr>
              <w:t>3.0; stamp duty calculated from article / property / location; pay via UPI / net banking / cards;</w:t>
            </w: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color w:val="242424"/>
                <w:sz w:val="16"/>
              </w:rPr>
              <w:t>Instant unique Digital e-Stamp certificate; download digitally signed e-Stamp from dashboard.</w:t>
            </w:r>
          </w:p>
        </w:tc>
        <w:tc>
          <w:tcPr>
            <w:tcW w:w="2551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4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• Citizen / Applicant</w:t>
            </w:r>
          </w:p>
        </w:tc>
      </w:tr>
      <w:tr w:rsidR="00926D9F" w:rsidRPr="00F06DA7" w:rsidTr="00B70671">
        <w:trPr>
          <w:trHeight w:val="300"/>
          <w:jc w:val="center"/>
        </w:trPr>
        <w:tc>
          <w:tcPr>
            <w:tcW w:w="90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b/>
                <w:color w:val="1F4E79"/>
                <w:sz w:val="18"/>
              </w:rPr>
              <w:t>IS-10</w:t>
            </w:r>
          </w:p>
        </w:tc>
        <w:tc>
          <w:tcPr>
            <w:tcW w:w="158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b/>
                <w:color w:val="242424"/>
                <w:sz w:val="18"/>
              </w:rPr>
              <w:t>Audit</w:t>
            </w:r>
          </w:p>
        </w:tc>
        <w:tc>
          <w:tcPr>
            <w:tcW w:w="4309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40" w:line="240" w:lineRule="auto"/>
              <w:rPr>
                <w:rFonts w:ascii="Calibri" w:hAnsi="Calibri" w:cs="Calibri"/>
              </w:rPr>
            </w:pPr>
            <w:r>
              <w:rPr>
                <w:rFonts w:ascii="Calibri" w:eastAsia="Calibri" w:hAnsi="Calibri"/>
                <w:b/>
                <w:color w:val="1F4E79"/>
                <w:sz w:val="16"/>
              </w:rPr>
              <w:t>Internal Audit</w:t>
            </w:r>
            <w:r>
              <w:rPr>
                <w:rFonts w:ascii="Calibri" w:eastAsia="Calibri" w:hAnsi="Calibri"/>
                <w:color w:val="242424"/>
                <w:sz w:val="16"/>
              </w:rPr>
              <w:t xml:space="preserve"> – DR / IGR / Regional Committee / HQA / Deputy Commissioner inspections.</w:t>
            </w: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b/>
                <w:color w:val="1F4E79"/>
                <w:sz w:val="16"/>
              </w:rPr>
              <w:t>External Audit</w:t>
            </w:r>
            <w:r>
              <w:rPr>
                <w:rFonts w:ascii="Calibri" w:eastAsia="Calibri" w:hAnsi="Calibri"/>
                <w:color w:val="242424"/>
                <w:sz w:val="16"/>
              </w:rPr>
              <w:t xml:space="preserve"> – Auditor General / AG office annual inspection; Local Audit Report; Audit Para query &amp; response.</w:t>
            </w: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color w:val="242424"/>
                <w:sz w:val="16"/>
              </w:rPr>
              <w:t>AG / auditor login creation by office head (SR / DR / ); AG email + I</w:t>
            </w:r>
            <w:r>
              <w:rPr>
                <w:rFonts w:ascii="Calibri" w:eastAsia="Calibri" w:hAnsi="Calibri"/>
                <w:color w:val="242424"/>
                <w:sz w:val="16"/>
              </w:rPr>
              <w:t>D card; period-based fetch of registered documents;</w:t>
            </w: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color w:val="242424"/>
                <w:sz w:val="16"/>
              </w:rPr>
              <w:t>Request to view document details → office head approval → digitally accessible audit trail instead of manual consolidation.</w:t>
            </w:r>
          </w:p>
        </w:tc>
        <w:tc>
          <w:tcPr>
            <w:tcW w:w="2551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40" w:line="240" w:lineRule="auto"/>
              <w:rPr>
                <w:rFonts w:ascii="Calibri" w:hAnsi="Calibri" w:cs="Calibri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• Office head (SR / DR) — AG login creation &amp; document-view approval</w:t>
            </w: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color w:val="242424"/>
                <w:sz w:val="16"/>
              </w:rPr>
              <w:t xml:space="preserve">• DR / IGR </w:t>
            </w:r>
            <w:r>
              <w:rPr>
                <w:rFonts w:ascii="Calibri" w:eastAsia="Calibri" w:hAnsi="Calibri"/>
                <w:color w:val="242424"/>
                <w:sz w:val="16"/>
              </w:rPr>
              <w:t>/ Regional Committee / HQA / Deputy Commissioner — internal audit</w:t>
            </w: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color w:val="242424"/>
                <w:sz w:val="16"/>
              </w:rPr>
              <w:t>• Auditor General / AG auditor — external audit</w:t>
            </w:r>
          </w:p>
        </w:tc>
      </w:tr>
      <w:tr w:rsidR="00926D9F" w:rsidRPr="00F06DA7" w:rsidTr="00B70671">
        <w:trPr>
          <w:trHeight w:val="300"/>
          <w:jc w:val="center"/>
        </w:trPr>
        <w:tc>
          <w:tcPr>
            <w:tcW w:w="90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b/>
                <w:color w:val="1F4E79"/>
                <w:sz w:val="18"/>
              </w:rPr>
              <w:t>IS-11</w:t>
            </w:r>
          </w:p>
        </w:tc>
        <w:tc>
          <w:tcPr>
            <w:tcW w:w="158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b/>
                <w:color w:val="242424"/>
                <w:sz w:val="18"/>
              </w:rPr>
              <w:t>External Integrations</w:t>
            </w:r>
          </w:p>
        </w:tc>
        <w:tc>
          <w:tcPr>
            <w:tcW w:w="4309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40" w:line="240" w:lineRule="auto"/>
              <w:rPr>
                <w:rFonts w:ascii="Calibri" w:hAnsi="Calibri" w:cs="Calibri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Kaveri 3.0 shall connect to send/receive data with the following external systems (as deployed / available):</w:t>
            </w:r>
          </w:p>
          <w:p w:rsidR="00C43098" w:rsidRDefault="00C43098">
            <w:pPr>
              <w:spacing w:after="80" w:line="240" w:lineRule="auto"/>
            </w:pP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b/>
                <w:color w:val="1F4E79"/>
                <w:sz w:val="16"/>
              </w:rPr>
              <w:t>EKYC</w:t>
            </w:r>
            <w:r>
              <w:rPr>
                <w:rFonts w:ascii="Calibri" w:eastAsia="Calibri" w:hAnsi="Calibri"/>
                <w:color w:val="242424"/>
                <w:sz w:val="16"/>
              </w:rPr>
              <w:t xml:space="preserve"> – Aadhar Verification — Real-time Aadhaar e-KYC / Face Authentication for citizen and party identity verification during registration, marriage and related flows.</w:t>
            </w: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b/>
                <w:color w:val="1F4E79"/>
                <w:sz w:val="16"/>
              </w:rPr>
              <w:t>Khazane</w:t>
            </w:r>
            <w:r>
              <w:rPr>
                <w:rFonts w:ascii="Calibri" w:eastAsia="Calibri" w:hAnsi="Calibri"/>
                <w:color w:val="242424"/>
                <w:sz w:val="16"/>
              </w:rPr>
              <w:t xml:space="preserve"> – Payment systems — Government payment gateway for collection and reconciliation of stamp duty, registration fees and other statutory payments.</w:t>
            </w: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b/>
                <w:color w:val="1F4E79"/>
                <w:sz w:val="16"/>
              </w:rPr>
              <w:t>DigiLocker</w:t>
            </w:r>
            <w:r>
              <w:rPr>
                <w:rFonts w:ascii="Calibri" w:eastAsia="Calibri" w:hAnsi="Calibri"/>
                <w:color w:val="242424"/>
                <w:sz w:val="16"/>
              </w:rPr>
              <w:t xml:space="preserve"> — Fetch / push of citizen documents and issued certificates (where enabled) via DigiLocker APIs.</w:t>
            </w: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b/>
                <w:color w:val="1F4E79"/>
                <w:sz w:val="16"/>
              </w:rPr>
              <w:t>SMS</w:t>
            </w:r>
            <w:r>
              <w:rPr>
                <w:rFonts w:ascii="Calibri" w:eastAsia="Calibri" w:hAnsi="Calibri"/>
                <w:color w:val="242424"/>
                <w:sz w:val="16"/>
              </w:rPr>
              <w:t xml:space="preserve"> — Transactional SMS for OTP, application status, appointment and certificate / receipt notifications.</w:t>
            </w: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b/>
                <w:color w:val="1F4E79"/>
                <w:sz w:val="16"/>
              </w:rPr>
              <w:t>EMail</w:t>
            </w:r>
            <w:r>
              <w:rPr>
                <w:rFonts w:ascii="Calibri" w:eastAsia="Calibri" w:hAnsi="Calibri"/>
                <w:color w:val="242424"/>
                <w:sz w:val="16"/>
              </w:rPr>
              <w:t xml:space="preserve"> — Transactional email for OTP (where used), receipts, certificates and status notifications.</w:t>
            </w: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b/>
                <w:color w:val="1F4E79"/>
                <w:sz w:val="16"/>
              </w:rPr>
              <w:t>Kutumba</w:t>
            </w:r>
            <w:r>
              <w:rPr>
                <w:rFonts w:ascii="Calibri" w:eastAsia="Calibri" w:hAnsi="Calibri"/>
                <w:color w:val="242424"/>
                <w:sz w:val="16"/>
              </w:rPr>
              <w:t xml:space="preserve"> — marriage registration data.</w:t>
            </w: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color w:val="242424"/>
                <w:sz w:val="16"/>
              </w:rPr>
              <w:t>Civil Registrati</w:t>
            </w:r>
            <w:r>
              <w:rPr>
                <w:rFonts w:ascii="Calibri" w:eastAsia="Calibri" w:hAnsi="Calibri"/>
                <w:color w:val="242424"/>
                <w:sz w:val="16"/>
              </w:rPr>
              <w:t>on System —civil-registration data exchange for marriage and linked workflows.</w:t>
            </w: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b/>
                <w:color w:val="1F4E79"/>
                <w:sz w:val="16"/>
              </w:rPr>
              <w:lastRenderedPageBreak/>
              <w:t>Labour Department</w:t>
            </w:r>
            <w:r>
              <w:rPr>
                <w:rFonts w:ascii="Calibri" w:eastAsia="Calibri" w:hAnsi="Calibri"/>
                <w:color w:val="242424"/>
                <w:sz w:val="16"/>
              </w:rPr>
              <w:t xml:space="preserve"> — marriage registration data to avail benefits.</w:t>
            </w: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b/>
                <w:color w:val="1F4E79"/>
                <w:sz w:val="16"/>
              </w:rPr>
              <w:t>Sakala</w:t>
            </w:r>
            <w:r>
              <w:rPr>
                <w:rFonts w:ascii="Calibri" w:eastAsia="Calibri" w:hAnsi="Calibri"/>
                <w:color w:val="242424"/>
                <w:sz w:val="16"/>
              </w:rPr>
              <w:t xml:space="preserve"> — Karnataka Guarantee of Services to Citizen: GSC issuance, service timelines and statutory status sync.</w:t>
            </w: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b/>
                <w:color w:val="1F4E79"/>
                <w:sz w:val="16"/>
              </w:rPr>
              <w:t>e-Sign</w:t>
            </w:r>
            <w:r>
              <w:rPr>
                <w:rFonts w:ascii="Calibri" w:eastAsia="Calibri" w:hAnsi="Calibri"/>
                <w:color w:val="242424"/>
                <w:sz w:val="16"/>
              </w:rPr>
              <w:t xml:space="preserve"> — Aadhaar-based electronic signature for citizens on applications, deeds, certificates, EC/CC and related artefacts.</w:t>
            </w: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b/>
                <w:color w:val="1F4E79"/>
                <w:sz w:val="16"/>
              </w:rPr>
              <w:t>Eswathu</w:t>
            </w:r>
            <w:r>
              <w:rPr>
                <w:rFonts w:ascii="Calibri" w:eastAsia="Calibri" w:hAnsi="Calibri"/>
                <w:color w:val="242424"/>
                <w:sz w:val="16"/>
              </w:rPr>
              <w:t xml:space="preserve"> — Rural non-agricultural property records: property pull and mutation / eKhata push after registration.</w:t>
            </w: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b/>
                <w:color w:val="1F4E79"/>
                <w:sz w:val="16"/>
              </w:rPr>
              <w:t>Eaasthi</w:t>
            </w:r>
            <w:r>
              <w:rPr>
                <w:rFonts w:ascii="Calibri" w:eastAsia="Calibri" w:hAnsi="Calibri"/>
                <w:color w:val="242424"/>
                <w:sz w:val="16"/>
              </w:rPr>
              <w:t xml:space="preserve"> — Urban pro</w:t>
            </w:r>
            <w:r>
              <w:rPr>
                <w:rFonts w:ascii="Calibri" w:eastAsia="Calibri" w:hAnsi="Calibri"/>
                <w:color w:val="242424"/>
                <w:sz w:val="16"/>
              </w:rPr>
              <w:t>perty records: property pull and mutation / eKhata push after registration.</w:t>
            </w: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b/>
                <w:color w:val="1F4E79"/>
                <w:sz w:val="16"/>
              </w:rPr>
              <w:t>Passport</w:t>
            </w:r>
            <w:r>
              <w:rPr>
                <w:rFonts w:ascii="Calibri" w:eastAsia="Calibri" w:hAnsi="Calibri"/>
                <w:color w:val="242424"/>
                <w:sz w:val="16"/>
              </w:rPr>
              <w:t xml:space="preserve"> — Passport number / details validation for party identity where Passport is selected as proof of identity.</w:t>
            </w: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b/>
                <w:color w:val="1F4E79"/>
                <w:sz w:val="16"/>
              </w:rPr>
              <w:t>PAN</w:t>
            </w:r>
            <w:r>
              <w:rPr>
                <w:rFonts w:ascii="Calibri" w:eastAsia="Calibri" w:hAnsi="Calibri"/>
                <w:color w:val="242424"/>
                <w:sz w:val="16"/>
              </w:rPr>
              <w:t xml:space="preserve"> — Real-time PAN authentication for parties (including mandat</w:t>
            </w:r>
            <w:r>
              <w:rPr>
                <w:rFonts w:ascii="Calibri" w:eastAsia="Calibri" w:hAnsi="Calibri"/>
                <w:color w:val="242424"/>
                <w:sz w:val="16"/>
              </w:rPr>
              <w:t>ory checks when market / consideration value thresholds apply; Form 60/61 where PAN is unavailable).</w:t>
            </w: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b/>
                <w:color w:val="1F4E79"/>
                <w:sz w:val="16"/>
              </w:rPr>
              <w:t>Bhoomi</w:t>
            </w:r>
            <w:r>
              <w:rPr>
                <w:rFonts w:ascii="Calibri" w:eastAsia="Calibri" w:hAnsi="Calibri"/>
                <w:color w:val="242424"/>
                <w:sz w:val="16"/>
              </w:rPr>
              <w:t xml:space="preserve"> — Agricultural land records: property schedule pull and mutation intimation / push after registration.</w:t>
            </w: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b/>
                <w:color w:val="1F4E79"/>
                <w:sz w:val="16"/>
              </w:rPr>
              <w:t>KSRSAC</w:t>
            </w:r>
            <w:r>
              <w:rPr>
                <w:rFonts w:ascii="Calibri" w:eastAsia="Calibri" w:hAnsi="Calibri"/>
                <w:color w:val="242424"/>
                <w:sz w:val="16"/>
              </w:rPr>
              <w:t xml:space="preserve"> — Karnataka State Remote Sensing Appli</w:t>
            </w:r>
            <w:r>
              <w:rPr>
                <w:rFonts w:ascii="Calibri" w:eastAsia="Calibri" w:hAnsi="Calibri"/>
                <w:color w:val="242424"/>
                <w:sz w:val="16"/>
              </w:rPr>
              <w:t>cations Centre: GIS / map layers for valuation and spatial property support.</w:t>
            </w: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b/>
                <w:color w:val="1F4E79"/>
                <w:sz w:val="16"/>
              </w:rPr>
              <w:t>FRUITS</w:t>
            </w:r>
            <w:r>
              <w:rPr>
                <w:rFonts w:ascii="Calibri" w:eastAsia="Calibri" w:hAnsi="Calibri"/>
                <w:color w:val="242424"/>
                <w:sz w:val="16"/>
              </w:rPr>
              <w:t xml:space="preserve"> — Agricultural mortgage / release filing integration and related EC / notification exchange with FRUITS.</w:t>
            </w: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b/>
                <w:color w:val="1F4E79"/>
                <w:sz w:val="16"/>
              </w:rPr>
              <w:t>Mogini</w:t>
            </w:r>
            <w:r>
              <w:rPr>
                <w:rFonts w:ascii="Calibri" w:eastAsia="Calibri" w:hAnsi="Calibri"/>
                <w:color w:val="242424"/>
                <w:sz w:val="16"/>
              </w:rPr>
              <w:t xml:space="preserve"> — Survey / agri property data exchange alongside Bhoomi for </w:t>
            </w:r>
            <w:r>
              <w:rPr>
                <w:rFonts w:ascii="Calibri" w:eastAsia="Calibri" w:hAnsi="Calibri"/>
                <w:color w:val="242424"/>
                <w:sz w:val="16"/>
              </w:rPr>
              <w:t>property identification and mutation support.</w:t>
            </w: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b/>
                <w:color w:val="1F4E79"/>
                <w:sz w:val="16"/>
              </w:rPr>
              <w:t>Income Tax</w:t>
            </w:r>
            <w:r>
              <w:rPr>
                <w:rFonts w:ascii="Calibri" w:eastAsia="Calibri" w:hAnsi="Calibri"/>
                <w:color w:val="242424"/>
                <w:sz w:val="16"/>
              </w:rPr>
              <w:t xml:space="preserve"> — Inter-department access and data exchange for Income Tax Department use cases on Kaveri (Other Department users / approved APIs).</w:t>
            </w:r>
          </w:p>
          <w:p w:rsidR="00C43098" w:rsidRDefault="00C43098">
            <w:pPr>
              <w:spacing w:after="80" w:line="240" w:lineRule="auto"/>
            </w:pP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color w:val="242424"/>
                <w:sz w:val="16"/>
              </w:rPr>
              <w:t>P.S.: External systems are owned by respective agencies; Kaveri in</w:t>
            </w:r>
            <w:r>
              <w:rPr>
                <w:rFonts w:ascii="Calibri" w:eastAsia="Calibri" w:hAnsi="Calibri"/>
                <w:color w:val="242424"/>
                <w:sz w:val="16"/>
              </w:rPr>
              <w:t>tegrates via SOAP/REST APIs / scheduled jobs.</w:t>
            </w:r>
          </w:p>
        </w:tc>
        <w:tc>
          <w:tcPr>
            <w:tcW w:w="2551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40" w:line="240" w:lineRule="auto"/>
              <w:rPr>
                <w:rFonts w:ascii="Calibri" w:hAnsi="Calibri" w:cs="Calibri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lastRenderedPageBreak/>
              <w:t>• Citizen / Applicant (consuming integrated services)</w:t>
            </w: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color w:val="242424"/>
                <w:sz w:val="16"/>
              </w:rPr>
              <w:t>• DSR Officers (SR / DEO / FDA / SDA / DRO / IGR as per module)</w:t>
            </w: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color w:val="242424"/>
                <w:sz w:val="16"/>
              </w:rPr>
              <w:t>• Other Department users (e.g. Income Tax)</w:t>
            </w:r>
          </w:p>
          <w:p w:rsidR="00C43098" w:rsidRDefault="00406B78" w:rsidP="00BF3835">
            <w:pPr>
              <w:spacing w:after="40" w:line="240" w:lineRule="auto"/>
            </w:pPr>
            <w:r>
              <w:rPr>
                <w:rFonts w:ascii="Calibri" w:eastAsia="Calibri" w:hAnsi="Calibri"/>
                <w:color w:val="242424"/>
                <w:sz w:val="16"/>
              </w:rPr>
              <w:t>• External system owners</w:t>
            </w:r>
          </w:p>
        </w:tc>
      </w:tr>
      <w:tr w:rsidR="00926D9F" w:rsidRPr="00F06DA7" w:rsidTr="00B70671">
        <w:trPr>
          <w:trHeight w:val="300"/>
          <w:jc w:val="center"/>
        </w:trPr>
        <w:tc>
          <w:tcPr>
            <w:tcW w:w="90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b/>
                <w:color w:val="1F4E79"/>
                <w:sz w:val="18"/>
              </w:rPr>
              <w:t>IS-12</w:t>
            </w:r>
          </w:p>
        </w:tc>
        <w:tc>
          <w:tcPr>
            <w:tcW w:w="158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b/>
                <w:color w:val="242424"/>
                <w:sz w:val="18"/>
              </w:rPr>
              <w:t>Reporting / Dashboard</w:t>
            </w:r>
          </w:p>
        </w:tc>
        <w:tc>
          <w:tcPr>
            <w:tcW w:w="4309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4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b/>
                <w:color w:val="1F4E79"/>
                <w:sz w:val="16"/>
              </w:rPr>
              <w:t>Citizen</w:t>
            </w:r>
            <w:r>
              <w:rPr>
                <w:rFonts w:ascii="Calibri" w:eastAsia="Calibri" w:hAnsi="Calibri"/>
                <w:color w:val="242424"/>
                <w:sz w:val="16"/>
              </w:rPr>
              <w:t xml:space="preserve"> – application status tracking, download certificates / e-Stamp / EC / CC.</w:t>
            </w: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b/>
                <w:color w:val="1F4E79"/>
                <w:sz w:val="16"/>
              </w:rPr>
              <w:t>Department dashboards</w:t>
            </w:r>
            <w:r>
              <w:rPr>
                <w:rFonts w:ascii="Calibri" w:eastAsia="Calibri" w:hAnsi="Calibri"/>
                <w:color w:val="242424"/>
                <w:sz w:val="16"/>
              </w:rPr>
              <w:t xml:space="preserve"> – SR / DR / IGR worklists (scrutiny, registration, EC/CC approval, firm, audit requests).</w:t>
            </w: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b/>
                <w:color w:val="1F4E79"/>
                <w:sz w:val="16"/>
              </w:rPr>
              <w:t>MIS</w:t>
            </w:r>
            <w:r>
              <w:rPr>
                <w:rFonts w:ascii="Calibri" w:eastAsia="Calibri" w:hAnsi="Calibri"/>
                <w:color w:val="242424"/>
                <w:sz w:val="16"/>
              </w:rPr>
              <w:t xml:space="preserve"> – registrations by article / book / office; revenue by mode/channel; pending / refused / withdrawn / undervaluation;</w:t>
            </w: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color w:val="242424"/>
                <w:sz w:val="16"/>
              </w:rPr>
              <w:t>Marriage / Firm statistics; SLA / Sakala oriented views; bilingual labels where required.</w:t>
            </w: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color w:val="242424"/>
                <w:sz w:val="16"/>
              </w:rPr>
              <w:t>Scheduled / batch jobs for reconciliation and re</w:t>
            </w:r>
            <w:r>
              <w:rPr>
                <w:rFonts w:ascii="Calibri" w:eastAsia="Calibri" w:hAnsi="Calibri"/>
                <w:color w:val="242424"/>
                <w:sz w:val="16"/>
              </w:rPr>
              <w:t>porting (Architecture).</w:t>
            </w:r>
          </w:p>
          <w:p w:rsidR="00C43098" w:rsidRDefault="00C43098">
            <w:pPr>
              <w:spacing w:after="80" w:line="240" w:lineRule="auto"/>
            </w:pP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color w:val="242424"/>
                <w:sz w:val="16"/>
              </w:rPr>
              <w:t xml:space="preserve">The Kaveri 3.0 solution shall provide a centralized Business Intelligence, MIS and analytical reporting capability using Microsoft Power BI for public transparency, departmental performance analysis, statutory reporting, executive </w:t>
            </w:r>
            <w:r>
              <w:rPr>
                <w:rFonts w:ascii="Calibri" w:eastAsia="Calibri" w:hAnsi="Calibri"/>
                <w:color w:val="242424"/>
                <w:sz w:val="16"/>
              </w:rPr>
              <w:t>decision support and administrative monitoring.</w:t>
            </w:r>
          </w:p>
          <w:p w:rsidR="00C43098" w:rsidRDefault="00C43098">
            <w:pPr>
              <w:spacing w:after="80" w:line="240" w:lineRule="auto"/>
            </w:pPr>
          </w:p>
          <w:p w:rsidR="00C43098" w:rsidRDefault="00C43098">
            <w:pPr>
              <w:spacing w:after="80" w:line="240" w:lineRule="auto"/>
            </w:pPr>
          </w:p>
          <w:p w:rsidR="00C43098" w:rsidRDefault="00C43098">
            <w:pPr>
              <w:spacing w:after="80" w:line="240" w:lineRule="auto"/>
            </w:pPr>
          </w:p>
        </w:tc>
        <w:tc>
          <w:tcPr>
            <w:tcW w:w="2551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4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• Citizen / Applicant — status &amp; downloads</w:t>
            </w: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color w:val="242424"/>
                <w:sz w:val="16"/>
              </w:rPr>
              <w:t>• SR / DR / IGR — worklists &amp; MIS</w:t>
            </w: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color w:val="242424"/>
                <w:sz w:val="16"/>
              </w:rPr>
              <w:t>• AIGR / Admin — executive / statutory dashboards</w:t>
            </w: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color w:val="242424"/>
                <w:sz w:val="16"/>
              </w:rPr>
              <w:t>• BI / Analytics (Kaveri IT Cell) — Power BI packs</w:t>
            </w:r>
          </w:p>
        </w:tc>
      </w:tr>
      <w:tr w:rsidR="00926D9F" w:rsidRPr="00F06DA7" w:rsidTr="00B70671">
        <w:trPr>
          <w:trHeight w:val="300"/>
          <w:jc w:val="center"/>
        </w:trPr>
        <w:tc>
          <w:tcPr>
            <w:tcW w:w="90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b/>
                <w:color w:val="1F4E79"/>
                <w:sz w:val="18"/>
              </w:rPr>
              <w:t>IS-13</w:t>
            </w:r>
          </w:p>
        </w:tc>
        <w:tc>
          <w:tcPr>
            <w:tcW w:w="158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b/>
                <w:color w:val="242424"/>
                <w:sz w:val="18"/>
              </w:rPr>
              <w:t>Security</w:t>
            </w:r>
          </w:p>
        </w:tc>
        <w:tc>
          <w:tcPr>
            <w:tcW w:w="4309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40" w:line="240" w:lineRule="auto"/>
              <w:rPr>
                <w:rFonts w:ascii="Calibri" w:hAnsi="Calibri" w:cs="Calibri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HTTPS enforced for all citizen and department web / API traffic (TLS end-to-end to the edge).</w:t>
            </w:r>
          </w:p>
          <w:p w:rsidR="00C43098" w:rsidRDefault="00C43098">
            <w:pPr>
              <w:spacing w:after="80" w:line="240" w:lineRule="auto"/>
            </w:pP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color w:val="242424"/>
                <w:sz w:val="16"/>
              </w:rPr>
              <w:t>SSL / TLS certificates managed for public and internal endpoints; reverse proxy performs SSL offloading where deployed.</w:t>
            </w: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b/>
                <w:color w:val="1F4E79"/>
                <w:sz w:val="16"/>
              </w:rPr>
              <w:t>Reverse proxy</w:t>
            </w:r>
            <w:r>
              <w:rPr>
                <w:rFonts w:ascii="Calibri" w:eastAsia="Calibri" w:hAnsi="Calibri"/>
                <w:color w:val="242424"/>
                <w:sz w:val="16"/>
              </w:rPr>
              <w:t xml:space="preserve"> – SSL offloading, rate limiting, </w:t>
            </w:r>
            <w:r>
              <w:rPr>
                <w:rFonts w:ascii="Calibri" w:eastAsia="Calibri" w:hAnsi="Calibri"/>
                <w:color w:val="242424"/>
                <w:sz w:val="16"/>
              </w:rPr>
              <w:t>bot blocking, load balancing.</w:t>
            </w:r>
          </w:p>
          <w:p w:rsidR="00C43098" w:rsidRDefault="00C43098">
            <w:pPr>
              <w:spacing w:after="80" w:line="240" w:lineRule="auto"/>
            </w:pP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b/>
                <w:color w:val="1F4E79"/>
                <w:sz w:val="16"/>
              </w:rPr>
              <w:t>API Gateway</w:t>
            </w:r>
            <w:r>
              <w:rPr>
                <w:rFonts w:ascii="Calibri" w:eastAsia="Calibri" w:hAnsi="Calibri"/>
                <w:color w:val="242424"/>
                <w:sz w:val="16"/>
              </w:rPr>
              <w:t xml:space="preserve"> – authN/Z on every request, IP/route rate limits, Redis session,</w:t>
            </w: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b/>
                <w:color w:val="1F4E79"/>
                <w:sz w:val="16"/>
              </w:rPr>
              <w:t>Quality &amp; Security Gates</w:t>
            </w:r>
            <w:r>
              <w:rPr>
                <w:rFonts w:ascii="Calibri" w:eastAsia="Calibri" w:hAnsi="Calibri"/>
                <w:color w:val="242424"/>
                <w:sz w:val="16"/>
              </w:rPr>
              <w:t xml:space="preserve"> – Unit Testing, SonarQube Quality Gates, SAST, Dependency Scanning, Container Image Scanning (Trivy), DAST/Security Validation for higher environments.</w:t>
            </w: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color w:val="242424"/>
                <w:sz w:val="16"/>
              </w:rPr>
              <w:t>RBAC via User Management; department interface only on KSWAN.</w:t>
            </w: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color w:val="242424"/>
                <w:sz w:val="16"/>
              </w:rPr>
              <w:lastRenderedPageBreak/>
              <w:t>Digital signatures (e-Sign/DSC) on regist</w:t>
            </w:r>
            <w:r>
              <w:rPr>
                <w:rFonts w:ascii="Calibri" w:eastAsia="Calibri" w:hAnsi="Calibri"/>
                <w:color w:val="242424"/>
                <w:sz w:val="16"/>
              </w:rPr>
              <w:t>ered documents, EC, CC, e-Stamp, firm certificates.</w:t>
            </w: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color w:val="242424"/>
                <w:sz w:val="16"/>
              </w:rPr>
              <w:t>Reduced attack surface by not exposing internal microservices directly (API Gateway pattern).</w:t>
            </w:r>
          </w:p>
        </w:tc>
        <w:tc>
          <w:tcPr>
            <w:tcW w:w="2551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40" w:line="240" w:lineRule="auto"/>
              <w:rPr>
                <w:rFonts w:ascii="Calibri" w:hAnsi="Calibri" w:cs="Calibri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lastRenderedPageBreak/>
              <w:t>• Application Admin / KPMU — RBAC &amp; access policy</w:t>
            </w: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color w:val="242424"/>
                <w:sz w:val="16"/>
              </w:rPr>
              <w:t>• Security Specialist (Kaveri IT Cell)</w:t>
            </w: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color w:val="242424"/>
                <w:sz w:val="16"/>
              </w:rPr>
              <w:t>• DevOps &amp; Release Ma</w:t>
            </w:r>
            <w:r>
              <w:rPr>
                <w:rFonts w:ascii="Calibri" w:eastAsia="Calibri" w:hAnsi="Calibri"/>
                <w:color w:val="242424"/>
                <w:sz w:val="16"/>
              </w:rPr>
              <w:t>nager</w:t>
            </w: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color w:val="242424"/>
                <w:sz w:val="16"/>
              </w:rPr>
              <w:t>• SDC / Infrastructure operations</w:t>
            </w:r>
          </w:p>
        </w:tc>
      </w:tr>
      <w:tr w:rsidR="00926D9F" w:rsidRPr="00F06DA7" w:rsidTr="00B70671">
        <w:trPr>
          <w:trHeight w:val="300"/>
          <w:jc w:val="center"/>
        </w:trPr>
        <w:tc>
          <w:tcPr>
            <w:tcW w:w="90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b/>
                <w:color w:val="1F4E79"/>
                <w:sz w:val="18"/>
              </w:rPr>
              <w:t>IS-14</w:t>
            </w:r>
          </w:p>
        </w:tc>
        <w:tc>
          <w:tcPr>
            <w:tcW w:w="158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b/>
                <w:color w:val="242424"/>
                <w:sz w:val="18"/>
              </w:rPr>
              <w:t>Environment &amp; Deployment</w:t>
            </w:r>
          </w:p>
        </w:tc>
        <w:tc>
          <w:tcPr>
            <w:tcW w:w="4309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2712B0" w:rsidRPr="00F06DA7" w:rsidRDefault="002712B0" w:rsidP="002712B0">
            <w:pPr>
              <w:pStyle w:val="NormalWeb"/>
              <w:spacing w:before="0"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Stack: Angular SPA (Citizen Portal &amp; Department Portal); .NET Core/.NET 8 APIs; Python Services (where applicable); PostgreSQL; Redis Cache; Keycloak (SSO &amp; Identity Management).</w:t>
            </w: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color w:val="242424"/>
                <w:sz w:val="16"/>
              </w:rPr>
              <w:t>DevOps &amp; Platform: GitLab Enterprise, GitLab Runner, GitLab Container Registry, Docker, Docker Compose, SonarQube, Gitlab contianer scanning/Trivy (Container Security Scanning), OWASP ZAP/DAST (future phase).</w:t>
            </w: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color w:val="242424"/>
                <w:sz w:val="16"/>
              </w:rPr>
              <w:t>Environments: Development (On-Prem) → DEV (On-P</w:t>
            </w:r>
            <w:r>
              <w:rPr>
                <w:rFonts w:ascii="Calibri" w:eastAsia="Calibri" w:hAnsi="Calibri"/>
                <w:color w:val="242424"/>
                <w:sz w:val="16"/>
              </w:rPr>
              <w:t>rem) → QA (On-Prem) → UAT/Pre-Prod (Onprime/SDC) → Production (SDC).</w:t>
            </w: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b/>
                <w:color w:val="1F4E79"/>
                <w:sz w:val="16"/>
              </w:rPr>
              <w:t>Deployment units</w:t>
            </w:r>
            <w:r>
              <w:rPr>
                <w:rFonts w:ascii="Calibri" w:eastAsia="Calibri" w:hAnsi="Calibri"/>
                <w:color w:val="242424"/>
                <w:sz w:val="16"/>
              </w:rPr>
              <w:t xml:space="preserve"> – Angular UI applications, API services, background services/jobs, Docker images, database migrations, Keycloak configurations, environment-specific configuration files a</w:t>
            </w:r>
            <w:r>
              <w:rPr>
                <w:rFonts w:ascii="Calibri" w:eastAsia="Calibri" w:hAnsi="Calibri"/>
                <w:color w:val="242424"/>
                <w:sz w:val="16"/>
              </w:rPr>
              <w:t>nd infrastructure deployment artifacts.</w:t>
            </w: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b/>
                <w:color w:val="1F4E79"/>
                <w:sz w:val="16"/>
              </w:rPr>
              <w:t>Deployment approach</w:t>
            </w:r>
            <w:r>
              <w:rPr>
                <w:rFonts w:ascii="Calibri" w:eastAsia="Calibri" w:hAnsi="Calibri"/>
                <w:color w:val="242424"/>
                <w:sz w:val="16"/>
              </w:rPr>
              <w:t xml:space="preserve"> – Automated CI/CD through GitLab Enterprise; Build → Test → SonarQube → Container Build → Container Registry → Environment Deployment. DEV deployments automated through GitLab pipelines and Docker</w:t>
            </w:r>
            <w:r>
              <w:rPr>
                <w:rFonts w:ascii="Calibri" w:eastAsia="Calibri" w:hAnsi="Calibri"/>
                <w:color w:val="242424"/>
                <w:sz w:val="16"/>
              </w:rPr>
              <w:t xml:space="preserve"> Compose; QA/UAT deployments through controlled release pipelines; Production deployments through approved release process and deployment scripts.</w:t>
            </w: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b/>
                <w:color w:val="1F4E79"/>
                <w:sz w:val="16"/>
              </w:rPr>
              <w:t>Post-deploy checks</w:t>
            </w:r>
            <w:r>
              <w:rPr>
                <w:rFonts w:ascii="Calibri" w:eastAsia="Calibri" w:hAnsi="Calibri"/>
                <w:color w:val="242424"/>
                <w:sz w:val="16"/>
              </w:rPr>
              <w:t xml:space="preserve"> – Application health endpoints, service availability, database connectivity, migration val</w:t>
            </w:r>
            <w:r>
              <w:rPr>
                <w:rFonts w:ascii="Calibri" w:eastAsia="Calibri" w:hAnsi="Calibri"/>
                <w:color w:val="242424"/>
                <w:sz w:val="16"/>
              </w:rPr>
              <w:t>idation, Redis connectivity, Keycloak authentication validation, downstream service dependencies, container health status and infrastructure monitoring checks.</w:t>
            </w: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b/>
                <w:color w:val="1F4E79"/>
                <w:sz w:val="16"/>
              </w:rPr>
              <w:t>Rollback</w:t>
            </w:r>
            <w:r>
              <w:rPr>
                <w:rFonts w:ascii="Calibri" w:eastAsia="Calibri" w:hAnsi="Calibri"/>
                <w:color w:val="242424"/>
                <w:sz w:val="16"/>
              </w:rPr>
              <w:t xml:space="preserve"> – Retain stable container images and deployment artifacts; version-controlled deployment configurations; mandatory database rollback scripts for schema changes; Keycloak configuration backups; rapid rollback to previously approved application release.</w:t>
            </w: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b/>
                <w:color w:val="1F4E79"/>
                <w:sz w:val="16"/>
              </w:rPr>
              <w:t>Ava</w:t>
            </w:r>
            <w:r>
              <w:rPr>
                <w:rFonts w:ascii="Calibri" w:eastAsia="Calibri" w:hAnsi="Calibri"/>
                <w:b/>
                <w:color w:val="1F4E79"/>
                <w:sz w:val="16"/>
              </w:rPr>
              <w:t>ilability &amp; Downtime</w:t>
            </w:r>
            <w:r>
              <w:rPr>
                <w:rFonts w:ascii="Calibri" w:eastAsia="Calibri" w:hAnsi="Calibri"/>
                <w:color w:val="242424"/>
                <w:sz w:val="16"/>
              </w:rPr>
              <w:t xml:space="preserve"> – Low downtime tolerance for citizen-facing and department-facing services; deployment process to support quick rollback and minimal service interruption; production releases to follow controlled deployment and recovery procedures</w:t>
            </w:r>
          </w:p>
          <w:p w:rsidR="00C43098" w:rsidRDefault="00C43098">
            <w:pPr>
              <w:spacing w:after="80" w:line="240" w:lineRule="auto"/>
            </w:pPr>
          </w:p>
          <w:p w:rsidR="00C43098" w:rsidRDefault="00C43098">
            <w:pPr>
              <w:spacing w:after="80" w:line="240" w:lineRule="auto"/>
            </w:pPr>
          </w:p>
        </w:tc>
        <w:tc>
          <w:tcPr>
            <w:tcW w:w="2551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2712B0" w:rsidRPr="00F06DA7" w:rsidRDefault="002712B0" w:rsidP="002712B0">
            <w:pPr>
              <w:pStyle w:val="NormalWeb"/>
              <w:spacing w:before="0"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• DevOps &amp; Release Manager</w:t>
            </w: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color w:val="242424"/>
                <w:sz w:val="16"/>
              </w:rPr>
              <w:t>• Kaveri IT Cell delivery team</w:t>
            </w: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color w:val="242424"/>
                <w:sz w:val="16"/>
              </w:rPr>
              <w:t>• SDC / Infrastructure operations</w:t>
            </w:r>
          </w:p>
        </w:tc>
      </w:tr>
      <w:tr w:rsidR="00926D9F" w:rsidRPr="00F06DA7" w:rsidTr="00B70671">
        <w:trPr>
          <w:trHeight w:val="300"/>
          <w:jc w:val="center"/>
        </w:trPr>
        <w:tc>
          <w:tcPr>
            <w:tcW w:w="90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b/>
                <w:color w:val="1F4E79"/>
                <w:sz w:val="18"/>
              </w:rPr>
              <w:t>IS-15</w:t>
            </w:r>
          </w:p>
        </w:tc>
        <w:tc>
          <w:tcPr>
            <w:tcW w:w="158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b/>
                <w:color w:val="242424"/>
                <w:sz w:val="18"/>
              </w:rPr>
              <w:t>Database and Migration</w:t>
            </w:r>
          </w:p>
        </w:tc>
        <w:tc>
          <w:tcPr>
            <w:tcW w:w="4309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40" w:line="240" w:lineRule="auto"/>
              <w:rPr>
                <w:rFonts w:ascii="Calibri" w:hAnsi="Calibri" w:cs="Calibri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PostgreSQL across services with logical domain grouping (document, marriage, Digital e-Stamp, firm, etc.); read replicas for offload the transactions.</w:t>
            </w:r>
          </w:p>
          <w:p w:rsidR="00C43098" w:rsidRDefault="00C43098">
            <w:pPr>
              <w:spacing w:after="80" w:line="240" w:lineRule="auto"/>
            </w:pP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color w:val="242424"/>
                <w:sz w:val="16"/>
              </w:rPr>
              <w:t>Schemas / DBs for registration, migration, MIS, analytics, backup, marriage, firm, Digital e-stamp</w:t>
            </w: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b/>
                <w:color w:val="1F4E79"/>
                <w:sz w:val="16"/>
              </w:rPr>
              <w:t>Kaveri-1 compatibility</w:t>
            </w:r>
            <w:r>
              <w:rPr>
                <w:rFonts w:ascii="Calibri" w:eastAsia="Calibri" w:hAnsi="Calibri"/>
                <w:color w:val="242424"/>
                <w:sz w:val="16"/>
              </w:rPr>
              <w:t xml:space="preserve"> – pending documents, EC/CC, firms, marriages</w:t>
            </w:r>
          </w:p>
          <w:p w:rsidR="00C43098" w:rsidRDefault="00C43098">
            <w:pPr>
              <w:spacing w:after="80" w:line="240" w:lineRule="auto"/>
            </w:pPr>
          </w:p>
          <w:p w:rsidR="00C43098" w:rsidRDefault="00C43098">
            <w:pPr>
              <w:spacing w:after="80" w:line="240" w:lineRule="auto"/>
            </w:pPr>
          </w:p>
        </w:tc>
        <w:tc>
          <w:tcPr>
            <w:tcW w:w="2551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40" w:line="240" w:lineRule="auto"/>
              <w:rPr>
                <w:rFonts w:ascii="Calibri" w:hAnsi="Calibri" w:cs="Calibri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• Database Administrator</w:t>
            </w: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color w:val="242424"/>
                <w:sz w:val="16"/>
              </w:rPr>
              <w:t>• Data Migration Specialist</w:t>
            </w: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color w:val="242424"/>
                <w:sz w:val="16"/>
              </w:rPr>
              <w:t>• Domain Expert (c</w:t>
            </w:r>
            <w:r>
              <w:rPr>
                <w:rFonts w:ascii="Calibri" w:eastAsia="Calibri" w:hAnsi="Calibri"/>
                <w:color w:val="242424"/>
                <w:sz w:val="16"/>
              </w:rPr>
              <w:t>utover / reconciliation sign-off)</w:t>
            </w: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color w:val="242424"/>
                <w:sz w:val="16"/>
              </w:rPr>
              <w:t>• Product Owner / Steering (freeze &amp; Go-Live cutover)</w:t>
            </w:r>
          </w:p>
        </w:tc>
      </w:tr>
      <w:tr w:rsidR="00926D9F" w:rsidRPr="00F06DA7" w:rsidTr="00B70671">
        <w:trPr>
          <w:trHeight w:val="300"/>
          <w:jc w:val="center"/>
        </w:trPr>
        <w:tc>
          <w:tcPr>
            <w:tcW w:w="90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b/>
                <w:color w:val="1F4E79"/>
                <w:sz w:val="18"/>
              </w:rPr>
              <w:t>IS-16</w:t>
            </w:r>
          </w:p>
        </w:tc>
        <w:tc>
          <w:tcPr>
            <w:tcW w:w="158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b/>
                <w:color w:val="242424"/>
                <w:sz w:val="18"/>
              </w:rPr>
              <w:t>Observability, Monitoring &amp; Testing</w:t>
            </w:r>
          </w:p>
        </w:tc>
        <w:tc>
          <w:tcPr>
            <w:tcW w:w="4309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40" w:line="240" w:lineRule="auto"/>
              <w:rPr>
                <w:rFonts w:ascii="Calibri" w:hAnsi="Calibri" w:cs="Calibri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Observability present across services and environments; monitor latency-sensitive workflows and peak concurrency.</w:t>
            </w:r>
          </w:p>
          <w:p w:rsidR="00C43098" w:rsidRDefault="00C43098">
            <w:pPr>
              <w:spacing w:after="80" w:line="240" w:lineRule="auto"/>
            </w:pP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color w:val="242424"/>
                <w:sz w:val="16"/>
              </w:rPr>
              <w:t>Transaction scale awareness (Doc Reg / EC / CC volumes per Architecture).</w:t>
            </w:r>
          </w:p>
          <w:p w:rsidR="00C43098" w:rsidRDefault="00C43098">
            <w:pPr>
              <w:spacing w:after="80" w:line="240" w:lineRule="auto"/>
            </w:pP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color w:val="242424"/>
                <w:sz w:val="16"/>
              </w:rPr>
              <w:t>UAT / Prod release notes process under QA Files/Release_Notes.</w:t>
            </w:r>
          </w:p>
          <w:p w:rsidR="00C43098" w:rsidRDefault="00C43098">
            <w:pPr>
              <w:spacing w:after="80" w:line="240" w:lineRule="auto"/>
            </w:pPr>
          </w:p>
          <w:p w:rsidR="00C43098" w:rsidRDefault="00C43098">
            <w:pPr>
              <w:spacing w:after="80" w:line="240" w:lineRule="auto"/>
            </w:pPr>
          </w:p>
        </w:tc>
        <w:tc>
          <w:tcPr>
            <w:tcW w:w="2551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40" w:line="240" w:lineRule="auto"/>
              <w:rPr>
                <w:rFonts w:ascii="Calibri" w:hAnsi="Calibri" w:cs="Calibri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• QA / Test Engineers</w:t>
            </w: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color w:val="242424"/>
                <w:sz w:val="16"/>
              </w:rPr>
              <w:t>• Performance &amp; Security Test Lead</w:t>
            </w: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color w:val="242424"/>
                <w:sz w:val="16"/>
              </w:rPr>
              <w:t>• DevOps (observability stack)</w:t>
            </w: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color w:val="242424"/>
                <w:sz w:val="16"/>
              </w:rPr>
              <w:t xml:space="preserve">• L2 Support (hypercare </w:t>
            </w:r>
            <w:r>
              <w:rPr>
                <w:rFonts w:ascii="Calibri" w:eastAsia="Calibri" w:hAnsi="Calibri"/>
                <w:color w:val="242424"/>
                <w:sz w:val="16"/>
              </w:rPr>
              <w:t>monitoring)</w:t>
            </w:r>
          </w:p>
        </w:tc>
      </w:tr>
      <w:tr w:rsidR="00926D9F" w:rsidRPr="00F06DA7" w:rsidTr="00B70671">
        <w:trPr>
          <w:trHeight w:val="300"/>
          <w:jc w:val="center"/>
        </w:trPr>
        <w:tc>
          <w:tcPr>
            <w:tcW w:w="90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b/>
                <w:color w:val="1F4E79"/>
                <w:sz w:val="18"/>
              </w:rPr>
              <w:lastRenderedPageBreak/>
              <w:t>IS-17</w:t>
            </w:r>
          </w:p>
        </w:tc>
        <w:tc>
          <w:tcPr>
            <w:tcW w:w="158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b/>
                <w:color w:val="242424"/>
                <w:sz w:val="18"/>
              </w:rPr>
              <w:t>AI</w:t>
            </w:r>
          </w:p>
        </w:tc>
        <w:tc>
          <w:tcPr>
            <w:tcW w:w="4309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40" w:line="240" w:lineRule="auto"/>
              <w:rPr>
                <w:rFonts w:ascii="Calibri" w:hAnsi="Calibri" w:cs="Calibri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 xml:space="preserve">AI capabilities for Kaveri 3.0 are not defined in the </w:t>
            </w:r>
          </w:p>
          <w:p w:rsidR="00C43098" w:rsidRDefault="00C43098">
            <w:pPr>
              <w:spacing w:after="80" w:line="240" w:lineRule="auto"/>
            </w:pPr>
          </w:p>
          <w:p w:rsidR="00C43098" w:rsidRDefault="00406B78">
            <w:pPr>
              <w:spacing w:after="40" w:line="240" w:lineRule="auto"/>
            </w:pPr>
            <w:r>
              <w:rPr>
                <w:rFonts w:ascii="Calibri" w:eastAsia="Calibri" w:hAnsi="Calibri"/>
                <w:color w:val="242424"/>
                <w:sz w:val="16"/>
              </w:rPr>
              <w:t xml:space="preserve">Any AI features (assistive drafting, classification, anomaly detection, etc.) </w:t>
            </w:r>
          </w:p>
          <w:p w:rsidR="00C43098" w:rsidRDefault="00C43098">
            <w:pPr>
              <w:spacing w:after="80" w:line="240" w:lineRule="auto"/>
            </w:pPr>
          </w:p>
          <w:p w:rsidR="00C43098" w:rsidRDefault="00C43098">
            <w:pPr>
              <w:spacing w:after="80" w:line="240" w:lineRule="auto"/>
            </w:pPr>
          </w:p>
        </w:tc>
        <w:tc>
          <w:tcPr>
            <w:tcW w:w="2551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926D9F" w:rsidRPr="00F06DA7" w:rsidRDefault="00926D9F" w:rsidP="00926D9F">
            <w:pPr>
              <w:spacing w:after="40" w:line="240" w:lineRule="auto"/>
              <w:rPr>
                <w:rFonts w:ascii="Calibri" w:hAnsi="Calibri" w:cs="Calibri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• Not applicable — AI scope not defined; actors TBD when requirements are approved</w:t>
            </w:r>
          </w:p>
        </w:tc>
      </w:tr>
    </w:tbl>
    <w:p w:rsidR="00926D9F" w:rsidRPr="00F06DA7" w:rsidRDefault="00926D9F" w:rsidP="00926D9F">
      <w:pPr>
        <w:shd w:val="clear" w:color="auto" w:fill="FFFFFF"/>
        <w:spacing w:before="320" w:line="240" w:lineRule="auto"/>
        <w:rPr>
          <w:rFonts w:ascii="Calibri" w:eastAsia="Times New Roman" w:hAnsi="Calibri" w:cs="Calibri"/>
          <w:color w:val="242424"/>
          <w:lang w:eastAsia="en-IN"/>
        </w:rPr>
      </w:pPr>
      <w:r>
        <w:rPr>
          <w:rFonts w:ascii="Calibri" w:eastAsia="Calibri" w:hAnsi="Calibri"/>
          <w:b/>
          <w:color w:val="1F4E79"/>
          <w:sz w:val="32"/>
        </w:rPr>
        <w:t>2. Key Stakeholders</w:t>
      </w:r>
    </w:p>
    <w:p w:rsidR="00926D9F" w:rsidRPr="00F06DA7" w:rsidRDefault="00926D9F" w:rsidP="00926D9F">
      <w:pPr>
        <w:shd w:val="clear" w:color="auto" w:fill="FFFFFF"/>
        <w:spacing w:after="0" w:line="240" w:lineRule="auto"/>
        <w:jc w:val="center"/>
        <w:textAlignment w:val="baseline"/>
        <w:rPr>
          <w:rFonts w:ascii="Calibri" w:eastAsia="Times New Roman" w:hAnsi="Calibri" w:cs="Calibri"/>
          <w:color w:val="242424"/>
          <w:lang w:eastAsia="en-IN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41"/>
        <w:gridCol w:w="1814"/>
        <w:gridCol w:w="1927"/>
        <w:gridCol w:w="1814"/>
        <w:gridCol w:w="1757"/>
      </w:tblGrid>
      <w:tr w:rsidR="00926D9F" w:rsidRPr="00F06DA7" w:rsidTr="003A799F">
        <w:trPr>
          <w:tblHeader/>
          <w:jc w:val="center"/>
        </w:trPr>
        <w:tc>
          <w:tcPr>
            <w:tcW w:w="2041" w:type="dxa"/>
            <w:tcBorders>
              <w:top w:val="single" w:sz="6" w:space="0" w:color="163A5F"/>
              <w:left w:val="single" w:sz="6" w:space="0" w:color="163A5F"/>
              <w:bottom w:val="single" w:sz="6" w:space="0" w:color="163A5F"/>
              <w:right w:val="single" w:sz="6" w:space="0" w:color="163A5F"/>
            </w:tcBorders>
            <w:shd w:val="clear" w:color="auto" w:fill="1F4E79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  <w:hideMark/>
          </w:tcPr>
          <w:p w:rsidR="00926D9F" w:rsidRPr="00F06DA7" w:rsidRDefault="00926D9F" w:rsidP="00926D9F">
            <w:pPr>
              <w:spacing w:before="40" w:after="40" w:line="240" w:lineRule="auto"/>
              <w:jc w:val="center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b/>
                <w:color w:val="FFFFFF"/>
                <w:sz w:val="18"/>
              </w:rPr>
              <w:t>Stakeholder / Group</w:t>
            </w:r>
          </w:p>
        </w:tc>
        <w:tc>
          <w:tcPr>
            <w:tcW w:w="1814" w:type="dxa"/>
            <w:tcBorders>
              <w:top w:val="single" w:sz="6" w:space="0" w:color="163A5F"/>
              <w:left w:val="single" w:sz="6" w:space="0" w:color="163A5F"/>
              <w:bottom w:val="single" w:sz="6" w:space="0" w:color="163A5F"/>
              <w:right w:val="single" w:sz="6" w:space="0" w:color="163A5F"/>
            </w:tcBorders>
            <w:shd w:val="clear" w:color="auto" w:fill="1F4E79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  <w:hideMark/>
          </w:tcPr>
          <w:p w:rsidR="00926D9F" w:rsidRPr="00F06DA7" w:rsidRDefault="00926D9F" w:rsidP="00926D9F">
            <w:pPr>
              <w:spacing w:before="40" w:after="40" w:line="240" w:lineRule="auto"/>
              <w:jc w:val="center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b/>
                <w:color w:val="FFFFFF"/>
                <w:sz w:val="18"/>
              </w:rPr>
              <w:t>Role</w:t>
            </w:r>
          </w:p>
        </w:tc>
        <w:tc>
          <w:tcPr>
            <w:tcW w:w="1927" w:type="dxa"/>
            <w:tcBorders>
              <w:top w:val="single" w:sz="6" w:space="0" w:color="163A5F"/>
              <w:left w:val="single" w:sz="6" w:space="0" w:color="163A5F"/>
              <w:bottom w:val="single" w:sz="6" w:space="0" w:color="163A5F"/>
              <w:right w:val="single" w:sz="6" w:space="0" w:color="163A5F"/>
            </w:tcBorders>
            <w:shd w:val="clear" w:color="auto" w:fill="1F4E79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  <w:hideMark/>
          </w:tcPr>
          <w:p w:rsidR="00926D9F" w:rsidRPr="00F06DA7" w:rsidRDefault="00926D9F" w:rsidP="00926D9F">
            <w:pPr>
              <w:spacing w:before="40" w:after="40" w:line="240" w:lineRule="auto"/>
              <w:jc w:val="center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b/>
                <w:color w:val="FFFFFF"/>
                <w:sz w:val="18"/>
              </w:rPr>
              <w:t>Interest / impact</w:t>
            </w:r>
          </w:p>
        </w:tc>
        <w:tc>
          <w:tcPr>
            <w:tcW w:w="1814" w:type="dxa"/>
            <w:tcBorders>
              <w:top w:val="single" w:sz="6" w:space="0" w:color="163A5F"/>
              <w:left w:val="single" w:sz="6" w:space="0" w:color="163A5F"/>
              <w:bottom w:val="single" w:sz="6" w:space="0" w:color="163A5F"/>
              <w:right w:val="single" w:sz="6" w:space="0" w:color="163A5F"/>
            </w:tcBorders>
            <w:shd w:val="clear" w:color="auto" w:fill="1F4E79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  <w:hideMark/>
          </w:tcPr>
          <w:p w:rsidR="00926D9F" w:rsidRPr="00F06DA7" w:rsidRDefault="00926D9F" w:rsidP="00926D9F">
            <w:pPr>
              <w:spacing w:before="40" w:after="40" w:line="240" w:lineRule="auto"/>
              <w:jc w:val="center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b/>
                <w:color w:val="FFFFFF"/>
                <w:sz w:val="18"/>
              </w:rPr>
              <w:t>Engagement method</w:t>
            </w:r>
          </w:p>
        </w:tc>
        <w:tc>
          <w:tcPr>
            <w:tcW w:w="1757" w:type="dxa"/>
            <w:tcBorders>
              <w:top w:val="single" w:sz="6" w:space="0" w:color="163A5F"/>
              <w:left w:val="single" w:sz="6" w:space="0" w:color="163A5F"/>
              <w:bottom w:val="single" w:sz="6" w:space="0" w:color="163A5F"/>
              <w:right w:val="single" w:sz="6" w:space="0" w:color="163A5F"/>
            </w:tcBorders>
            <w:shd w:val="clear" w:color="auto" w:fill="1F4E79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  <w:hideMark/>
          </w:tcPr>
          <w:p w:rsidR="00926D9F" w:rsidRPr="00F06DA7" w:rsidRDefault="00926D9F" w:rsidP="00926D9F">
            <w:pPr>
              <w:spacing w:before="40" w:after="40" w:line="240" w:lineRule="auto"/>
              <w:jc w:val="center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b/>
                <w:color w:val="FFFFFF"/>
                <w:sz w:val="18"/>
              </w:rPr>
              <w:t>Decision authority</w:t>
            </w:r>
          </w:p>
        </w:tc>
      </w:tr>
      <w:tr w:rsidR="00926D9F" w:rsidRPr="00F06DA7" w:rsidTr="003A799F">
        <w:trPr>
          <w:jc w:val="center"/>
        </w:trPr>
        <w:tc>
          <w:tcPr>
            <w:tcW w:w="2041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926D9F">
            <w:pPr>
              <w:spacing w:after="0" w:line="240" w:lineRule="auto" w:before="0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b/>
                <w:color w:val="1F4E79"/>
                <w:sz w:val="16"/>
              </w:rPr>
              <w:t>IGR &amp; Commissioner of Stamps / Steering Committee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926D9F">
            <w:pPr>
              <w:spacing w:after="0" w:line="240" w:lineRule="auto" w:before="0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head of Department of Stamps and Registration (DSR)</w:t>
            </w:r>
          </w:p>
        </w:tc>
        <w:tc>
          <w:tcPr>
            <w:tcW w:w="192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3F2829">
            <w:pPr>
              <w:spacing w:after="0" w:line="240" w:lineRule="auto" w:before="0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statutory compliance, phase Go-Live readiness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926D9F">
            <w:pPr>
              <w:spacing w:after="0" w:line="240" w:lineRule="auto" w:before="0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checklist; escalations</w:t>
            </w:r>
          </w:p>
        </w:tc>
        <w:tc>
          <w:tcPr>
            <w:tcW w:w="175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3F2829">
            <w:pPr>
              <w:spacing w:after="0" w:line="240" w:lineRule="auto" w:before="0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Scope change / phase Go-Live approval; residual risk acceptance</w:t>
            </w:r>
          </w:p>
        </w:tc>
      </w:tr>
      <w:tr w:rsidR="00926D9F" w:rsidRPr="00F06DA7" w:rsidTr="003A799F">
        <w:trPr>
          <w:jc w:val="center"/>
        </w:trPr>
        <w:tc>
          <w:tcPr>
            <w:tcW w:w="2041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926D9F">
            <w:pPr>
              <w:spacing w:after="0" w:line="240" w:lineRule="auto" w:before="0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b/>
                <w:color w:val="1F4E79"/>
                <w:sz w:val="16"/>
              </w:rPr>
              <w:t>AIGR (Computers) &amp; Requirements Committee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926D9F">
            <w:pPr>
              <w:spacing w:after="0" w:line="240" w:lineRule="auto" w:before="0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Domain and requirements authority for Kaveri 3.0</w:t>
            </w:r>
          </w:p>
        </w:tc>
        <w:tc>
          <w:tcPr>
            <w:tcW w:w="192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3F2829">
            <w:pPr>
              <w:spacing w:after="0" w:line="240" w:lineRule="auto" w:before="0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Correctness and completeness of Business Requirements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3F2829">
            <w:pPr>
              <w:spacing w:after="0" w:line="240" w:lineRule="auto" w:before="0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Business Requirement workshops, daily requirement discussions with Kaveri IT Cell</w:t>
            </w:r>
          </w:p>
        </w:tc>
        <w:tc>
          <w:tcPr>
            <w:tcW w:w="175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926D9F">
            <w:pPr>
              <w:spacing w:after="0" w:line="240" w:lineRule="auto" w:before="0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BRD / domain sign-off; promote or defer scope items</w:t>
            </w:r>
          </w:p>
        </w:tc>
      </w:tr>
      <w:tr w:rsidR="00926D9F" w:rsidRPr="00F06DA7" w:rsidTr="003A799F">
        <w:trPr>
          <w:jc w:val="center"/>
        </w:trPr>
        <w:tc>
          <w:tcPr>
            <w:tcW w:w="2041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926D9F">
            <w:pPr>
              <w:spacing w:after="0" w:line="240" w:lineRule="auto" w:before="0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b/>
                <w:color w:val="1F4E79"/>
                <w:sz w:val="16"/>
              </w:rPr>
              <w:t>KPMU / Application Admin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926D9F">
            <w:pPr>
              <w:spacing w:after="0" w:line="240" w:lineRule="auto" w:before="0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Programme Management Unit; system super-admin / IGR nominee</w:t>
            </w:r>
          </w:p>
        </w:tc>
        <w:tc>
          <w:tcPr>
            <w:tcW w:w="192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926D9F">
            <w:pPr>
              <w:spacing w:after="0" w:line="240" w:lineRule="auto" w:before="0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Delivery governance; designated creator roles; sanctioned posts and system-wide configuration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926D9F">
            <w:pPr>
              <w:spacing w:after="0" w:line="240" w:lineRule="auto" w:before="0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Steering nominee; admin / configuration workshops; UAT sign-off support</w:t>
            </w:r>
          </w:p>
        </w:tc>
        <w:tc>
          <w:tcPr>
            <w:tcW w:w="175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926D9F">
            <w:pPr>
              <w:spacing w:after="0" w:line="240" w:lineRule="auto" w:before="0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Designate creator roles; sanctioned-posts master; KPMU programme decisions</w:t>
            </w:r>
          </w:p>
        </w:tc>
      </w:tr>
      <w:tr w:rsidR="00926D9F" w:rsidRPr="00F06DA7" w:rsidTr="003A799F">
        <w:trPr>
          <w:jc w:val="center"/>
        </w:trPr>
        <w:tc>
          <w:tcPr>
            <w:tcW w:w="2041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926D9F">
            <w:pPr>
              <w:spacing w:after="0" w:line="240" w:lineRule="auto" w:before="0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b/>
                <w:color w:val="1F4E79"/>
                <w:sz w:val="16"/>
              </w:rPr>
              <w:t>Product Owner (Kaveri IT Cell)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926D9F">
            <w:pPr>
              <w:spacing w:after="0" w:line="240" w:lineRule="auto" w:before="0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Product ownership for Kaveri 3.0</w:t>
            </w:r>
          </w:p>
        </w:tc>
        <w:tc>
          <w:tcPr>
            <w:tcW w:w="192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B90ECE">
            <w:pPr>
              <w:spacing w:after="0" w:line="240" w:lineRule="auto" w:before="0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Roadmap, backlog, and stakeholder alignment within approved scope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B90ECE" w:rsidP="00B90ECE">
            <w:pPr>
              <w:spacing w:after="0" w:line="240" w:lineRule="auto" w:before="0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review; backlog refinement;</w:t>
            </w:r>
          </w:p>
        </w:tc>
        <w:tc>
          <w:tcPr>
            <w:tcW w:w="175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B90ECE">
            <w:pPr>
              <w:spacing w:after="0" w:line="240" w:lineRule="auto" w:before="0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Prioritisation</w:t>
            </w:r>
          </w:p>
        </w:tc>
      </w:tr>
      <w:tr w:rsidR="00926D9F" w:rsidRPr="00F06DA7" w:rsidTr="003A799F">
        <w:trPr>
          <w:jc w:val="center"/>
        </w:trPr>
        <w:tc>
          <w:tcPr>
            <w:tcW w:w="2041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926D9F">
            <w:pPr>
              <w:spacing w:after="0" w:line="240" w:lineRule="auto" w:before="0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b/>
                <w:color w:val="1F4E79"/>
                <w:sz w:val="16"/>
              </w:rPr>
              <w:t>Project Manager (Kaveri IT Cell)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926D9F">
            <w:pPr>
              <w:spacing w:after="0" w:line="240" w:lineRule="auto" w:before="0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Programme / project delivery management</w:t>
            </w:r>
          </w:p>
        </w:tc>
        <w:tc>
          <w:tcPr>
            <w:tcW w:w="192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2420D1">
            <w:pPr>
              <w:spacing w:after="0" w:line="240" w:lineRule="auto" w:before="0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Plan, milestones, risks, SLA Maintenance reporting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2420D1">
            <w:pPr>
              <w:spacing w:after="0" w:line="240" w:lineRule="auto" w:before="0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Daily stand-ups; risk reviews; reporting</w:t>
            </w:r>
          </w:p>
        </w:tc>
        <w:tc>
          <w:tcPr>
            <w:tcW w:w="175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2420D1">
            <w:pPr>
              <w:spacing w:after="0" w:line="240" w:lineRule="auto" w:before="0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Schedule and mitigation; release training, coordination</w:t>
            </w:r>
          </w:p>
        </w:tc>
      </w:tr>
      <w:tr w:rsidR="00926D9F" w:rsidRPr="00F06DA7" w:rsidTr="003A799F">
        <w:trPr>
          <w:jc w:val="center"/>
        </w:trPr>
        <w:tc>
          <w:tcPr>
            <w:tcW w:w="2041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926D9F">
            <w:pPr>
              <w:spacing w:after="0" w:line="240" w:lineRule="auto" w:before="0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b/>
                <w:color w:val="1F4E79"/>
                <w:sz w:val="16"/>
              </w:rPr>
              <w:t>Domain Expert (Stamps &amp; Registration)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0FE" w:rsidP="00926D9F">
            <w:pPr>
              <w:spacing w:after="0" w:line="240" w:lineRule="auto" w:before="0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Department Subject Manager Expert for Acts, Rules, forms and fees</w:t>
            </w:r>
          </w:p>
        </w:tc>
        <w:tc>
          <w:tcPr>
            <w:tcW w:w="192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926D9F">
            <w:pPr>
              <w:spacing w:after="0" w:line="240" w:lineRule="auto" w:before="0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Legal fidelity of forms, fees, registers and process rules in software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926D9F">
            <w:pPr>
              <w:spacing w:after="0" w:line="240" w:lineRule="auto" w:before="0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Business Requirements workshops; design / UAT reviews</w:t>
            </w:r>
          </w:p>
        </w:tc>
        <w:tc>
          <w:tcPr>
            <w:tcW w:w="175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926D9F">
            <w:pPr>
              <w:spacing w:after="0" w:line="240" w:lineRule="auto" w:before="0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Domain acceptance of rules and forms implemented in Kaveri 3.0</w:t>
            </w:r>
          </w:p>
        </w:tc>
      </w:tr>
      <w:tr w:rsidR="00926D9F" w:rsidRPr="00F06DA7" w:rsidTr="003A799F">
        <w:trPr>
          <w:jc w:val="center"/>
        </w:trPr>
        <w:tc>
          <w:tcPr>
            <w:tcW w:w="2041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926D9F">
            <w:pPr>
              <w:spacing w:after="0" w:line="240" w:lineRule="auto" w:before="0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b/>
                <w:color w:val="1F4E79"/>
                <w:sz w:val="16"/>
              </w:rPr>
              <w:t>Citizens / Applicants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926D9F">
            <w:pPr>
              <w:spacing w:after="0" w:line="240" w:lineRule="auto" w:before="0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Public end users of Kaveri portal services</w:t>
            </w:r>
          </w:p>
        </w:tc>
        <w:tc>
          <w:tcPr>
            <w:tcW w:w="192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926D9F">
            <w:pPr>
              <w:spacing w:after="0" w:line="240" w:lineRule="auto" w:before="0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Self-service for Marriage, Document Registration, EC, CC, Firm, Digital e-Stamp and related services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B22349" w:rsidP="00B22349">
            <w:pPr>
              <w:spacing w:after="0" w:line="240" w:lineRule="auto" w:before="0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Portal help; post go-live feedback</w:t>
            </w:r>
          </w:p>
        </w:tc>
        <w:tc>
          <w:tcPr>
            <w:tcW w:w="175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B22349" w:rsidP="00B22349">
            <w:pPr>
              <w:spacing w:after="0" w:line="240" w:lineRule="auto" w:before="0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None</w:t>
            </w:r>
          </w:p>
        </w:tc>
      </w:tr>
      <w:tr w:rsidR="00926D9F" w:rsidRPr="00F06DA7" w:rsidTr="003A799F">
        <w:trPr>
          <w:jc w:val="center"/>
        </w:trPr>
        <w:tc>
          <w:tcPr>
            <w:tcW w:w="2041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926D9F">
            <w:pPr>
              <w:spacing w:after="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b/>
                <w:color w:val="1F4E79"/>
                <w:sz w:val="16"/>
              </w:rPr>
              <w:t>Advocate / Deed Writers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926D9F">
            <w:pPr>
              <w:spacing w:after="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Legal practitioners and deed writers facilitating citizen registration</w:t>
            </w:r>
          </w:p>
        </w:tc>
        <w:tc>
          <w:tcPr>
            <w:tcW w:w="192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926D9F">
            <w:pPr>
              <w:spacing w:after="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Accurate deed drafting, party guidance and presentation support for Document Registration and related services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B22349" w:rsidP="00B22349">
            <w:pPr>
              <w:spacing w:after="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Workshops / circulars; portal guidance; UAT sampling where workflows touch facilitators</w:t>
            </w:r>
          </w:p>
        </w:tc>
        <w:tc>
          <w:tcPr>
            <w:tcW w:w="175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B22349" w:rsidP="00B22349">
            <w:pPr>
              <w:spacing w:after="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None (service facilitators; statutory acts remain with SR / parties)</w:t>
            </w:r>
          </w:p>
        </w:tc>
      </w:tr>
      <w:tr w:rsidR="00926D9F" w:rsidRPr="00F06DA7" w:rsidTr="003A799F">
        <w:trPr>
          <w:jc w:val="center"/>
        </w:trPr>
        <w:tc>
          <w:tcPr>
            <w:tcW w:w="2041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926D9F">
            <w:pPr>
              <w:spacing w:after="0" w:line="240" w:lineRule="auto" w:before="0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b/>
                <w:color w:val="1F4E79"/>
                <w:sz w:val="16"/>
              </w:rPr>
              <w:t>DSR Officers (SR / DEO / FDA / SDA / DRO / DIGR / AIGR / HQA)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926D9F">
            <w:pPr>
              <w:spacing w:after="0" w:line="240" w:lineRule="auto" w:before="0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Departmental operational users across SRO / DRO / IGRO</w:t>
            </w:r>
          </w:p>
        </w:tc>
        <w:tc>
          <w:tcPr>
            <w:tcW w:w="192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926D9F">
            <w:pPr>
              <w:spacing w:after="0" w:line="240" w:lineRule="auto" w:before="0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Scrutiny, registration, DEO upload, firm/DRO workflows, MIS, audit and appeals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926D9F">
            <w:pPr>
              <w:spacing w:after="0" w:line="240" w:lineRule="auto" w:before="0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UAT; training before each phase Go-Live; hypercare support</w:t>
            </w:r>
          </w:p>
        </w:tc>
        <w:tc>
          <w:tcPr>
            <w:tcW w:w="175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926D9F">
            <w:pPr>
              <w:spacing w:after="0" w:line="240" w:lineRule="auto" w:before="0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Operational decisions within statutory powers (admit / refuse / pending / etc.)</w:t>
            </w:r>
          </w:p>
        </w:tc>
      </w:tr>
      <w:tr w:rsidR="00926D9F" w:rsidRPr="00F06DA7" w:rsidTr="003A799F">
        <w:trPr>
          <w:jc w:val="center"/>
        </w:trPr>
        <w:tc>
          <w:tcPr>
            <w:tcW w:w="2041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926D9F">
            <w:pPr>
              <w:spacing w:after="0" w:line="240" w:lineRule="auto" w:before="0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b/>
                <w:color w:val="1F4E79"/>
                <w:sz w:val="16"/>
              </w:rPr>
              <w:t>Other Department users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926D9F">
            <w:pPr>
              <w:spacing w:after="0" w:line="240" w:lineRule="auto" w:before="0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Officers / staff of government departments other than DSR with assigned Kaveri access</w:t>
            </w:r>
          </w:p>
        </w:tc>
        <w:tc>
          <w:tcPr>
            <w:tcW w:w="192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926D9F">
            <w:pPr>
              <w:spacing w:after="0" w:line="240" w:lineRule="auto" w:before="0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Controlled access to assigned modules (e.g. Income Tax, Banking, Govt. Lawyer, Revenue)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926D9F">
            <w:pPr>
              <w:spacing w:after="0" w:line="240" w:lineRule="auto" w:before="0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Admin-provisioned accounts; targeted UAT where modules are shared</w:t>
            </w:r>
          </w:p>
        </w:tc>
        <w:tc>
          <w:tcPr>
            <w:tcW w:w="175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4471BF">
            <w:pPr>
              <w:spacing w:after="0" w:line="240" w:lineRule="auto" w:before="0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None</w:t>
            </w:r>
          </w:p>
        </w:tc>
      </w:tr>
      <w:tr w:rsidR="00926D9F" w:rsidRPr="00F06DA7" w:rsidTr="003A799F">
        <w:trPr>
          <w:jc w:val="center"/>
        </w:trPr>
        <w:tc>
          <w:tcPr>
            <w:tcW w:w="2041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926D9F">
            <w:pPr>
              <w:spacing w:after="0" w:line="240" w:lineRule="auto" w:before="0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b/>
                <w:color w:val="1F4E79"/>
                <w:sz w:val="16"/>
              </w:rPr>
              <w:t>EKYC – Aadhar Verification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926D9F">
            <w:pPr>
              <w:spacing w:after="0" w:line="240" w:lineRule="auto" w:before="0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Aadhaar e-KYC / identity verification partner</w:t>
            </w:r>
          </w:p>
        </w:tc>
        <w:tc>
          <w:tcPr>
            <w:tcW w:w="192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926D9F">
            <w:pPr>
              <w:spacing w:after="0" w:line="240" w:lineRule="auto" w:before="0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Citizen and party identity verification for registration and related services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926D9F">
            <w:pPr>
              <w:spacing w:after="0" w:line="240" w:lineRule="auto" w:before="0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Sandbox SIT; integration war-room; change windows</w:t>
            </w:r>
          </w:p>
        </w:tc>
        <w:tc>
          <w:tcPr>
            <w:tcW w:w="175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4471BF">
            <w:pPr>
              <w:spacing w:after="0" w:line="240" w:lineRule="auto" w:before="0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Interface SLAs and authN change windows (jointly with DSR)</w:t>
            </w:r>
          </w:p>
        </w:tc>
      </w:tr>
      <w:tr w:rsidR="00926D9F" w:rsidRPr="00F06DA7" w:rsidTr="003A799F">
        <w:trPr>
          <w:jc w:val="center"/>
        </w:trPr>
        <w:tc>
          <w:tcPr>
            <w:tcW w:w="2041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926D9F">
            <w:pPr>
              <w:spacing w:after="0" w:line="240" w:lineRule="auto" w:before="0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b/>
                <w:color w:val="1F4E79"/>
                <w:sz w:val="16"/>
              </w:rPr>
              <w:t>Khazane – Payment systems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926D9F">
            <w:pPr>
              <w:spacing w:after="0" w:line="240" w:lineRule="auto" w:before="0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Government payment gateway / treasury payment systems</w:t>
            </w:r>
          </w:p>
        </w:tc>
        <w:tc>
          <w:tcPr>
            <w:tcW w:w="192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926D9F">
            <w:pPr>
              <w:spacing w:after="0" w:line="240" w:lineRule="auto" w:before="0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Fee, stamp and registration payment capture and reconciliation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926D9F">
            <w:pPr>
              <w:spacing w:after="0" w:line="240" w:lineRule="auto" w:before="0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Sandbox SIT; integration war-room; reconciliation reviews</w:t>
            </w:r>
          </w:p>
        </w:tc>
        <w:tc>
          <w:tcPr>
            <w:tcW w:w="175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4471BF">
            <w:pPr>
              <w:spacing w:after="0" w:line="240" w:lineRule="auto" w:before="0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Payment interface SLAs and change windows (jointly with DSR / Treasury)</w:t>
            </w:r>
          </w:p>
        </w:tc>
      </w:tr>
      <w:tr w:rsidR="00926D9F" w:rsidRPr="00F06DA7" w:rsidTr="003A799F">
        <w:trPr>
          <w:jc w:val="center"/>
        </w:trPr>
        <w:tc>
          <w:tcPr>
            <w:tcW w:w="2041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926D9F">
            <w:pPr>
              <w:spacing w:after="0" w:line="240" w:lineRule="auto" w:before="0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b/>
                <w:color w:val="1F4E79"/>
                <w:sz w:val="16"/>
              </w:rPr>
              <w:t>DigiLocker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926D9F">
            <w:pPr>
              <w:spacing w:after="0" w:line="240" w:lineRule="auto" w:before="0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Document wallet / issued-document partner</w:t>
            </w:r>
          </w:p>
        </w:tc>
        <w:tc>
          <w:tcPr>
            <w:tcW w:w="192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926D9F">
            <w:pPr>
              <w:spacing w:after="0" w:line="240" w:lineRule="auto" w:before="0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Fetch / push of citizen documents and issued certificates where enabled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926D9F">
            <w:pPr>
              <w:spacing w:after="0" w:line="240" w:lineRule="auto" w:before="0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Sandbox SIT; integration war-room; change windows</w:t>
            </w:r>
          </w:p>
        </w:tc>
        <w:tc>
          <w:tcPr>
            <w:tcW w:w="175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4471BF">
            <w:pPr>
              <w:spacing w:after="0" w:line="240" w:lineRule="auto" w:before="0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Interface SLAs and change windows (jointly with DSR)</w:t>
            </w:r>
          </w:p>
        </w:tc>
      </w:tr>
      <w:tr w:rsidR="00926D9F" w:rsidRPr="00F06DA7" w:rsidTr="003A799F">
        <w:trPr>
          <w:jc w:val="center"/>
        </w:trPr>
        <w:tc>
          <w:tcPr>
            <w:tcW w:w="2041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926D9F">
            <w:pPr>
              <w:spacing w:after="0" w:line="240" w:lineRule="auto" w:before="0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b/>
                <w:color w:val="1F4E79"/>
                <w:sz w:val="16"/>
              </w:rPr>
              <w:t>SMS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926D9F">
            <w:pPr>
              <w:spacing w:after="0" w:line="240" w:lineRule="auto" w:before="0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Transactional / OTP SMS provider</w:t>
            </w:r>
          </w:p>
        </w:tc>
        <w:tc>
          <w:tcPr>
            <w:tcW w:w="192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926D9F">
            <w:pPr>
              <w:spacing w:after="0" w:line="240" w:lineRule="auto" w:before="0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OTP, status and notification delivery to citizens and officers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926D9F">
            <w:pPr>
              <w:spacing w:after="0" w:line="240" w:lineRule="auto" w:before="0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Sandbox SIT; delivery monitoring; change windows</w:t>
            </w:r>
          </w:p>
        </w:tc>
        <w:tc>
          <w:tcPr>
            <w:tcW w:w="175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4471BF">
            <w:pPr>
              <w:spacing w:after="0" w:line="240" w:lineRule="auto" w:before="0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SMS provider SLAs and template/change windows (jointly with DSR)</w:t>
            </w:r>
          </w:p>
        </w:tc>
      </w:tr>
      <w:tr w:rsidR="00926D9F" w:rsidRPr="00F06DA7" w:rsidTr="003A799F">
        <w:trPr>
          <w:jc w:val="center"/>
        </w:trPr>
        <w:tc>
          <w:tcPr>
            <w:tcW w:w="2041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926D9F">
            <w:pPr>
              <w:spacing w:after="0" w:line="240" w:lineRule="auto" w:before="0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b/>
                <w:color w:val="1F4E79"/>
                <w:sz w:val="16"/>
              </w:rPr>
              <w:t>EMail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926D9F">
            <w:pPr>
              <w:spacing w:after="0" w:line="240" w:lineRule="auto" w:before="0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Transactional email provider</w:t>
            </w:r>
          </w:p>
        </w:tc>
        <w:tc>
          <w:tcPr>
            <w:tcW w:w="192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926D9F">
            <w:pPr>
              <w:spacing w:after="0" w:line="240" w:lineRule="auto" w:before="0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OTP (where used), receipts, certificates and status notifications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926D9F">
            <w:pPr>
              <w:spacing w:after="0" w:line="240" w:lineRule="auto" w:before="0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Sandbox SIT; delivery monitoring; change windows</w:t>
            </w:r>
          </w:p>
        </w:tc>
        <w:tc>
          <w:tcPr>
            <w:tcW w:w="175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4471BF">
            <w:pPr>
              <w:spacing w:after="0" w:line="240" w:lineRule="auto" w:before="0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Email provider SLAs and template/change windows (jointly with DSR)</w:t>
            </w:r>
          </w:p>
        </w:tc>
      </w:tr>
      <w:tr w:rsidR="00926D9F" w:rsidRPr="00F06DA7" w:rsidTr="003A799F">
        <w:trPr>
          <w:jc w:val="center"/>
        </w:trPr>
        <w:tc>
          <w:tcPr>
            <w:tcW w:w="2041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926D9F">
            <w:pPr>
              <w:spacing w:after="0" w:line="240" w:lineRule="auto" w:before="0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b/>
                <w:color w:val="1F4E79"/>
                <w:sz w:val="16"/>
              </w:rPr>
              <w:lastRenderedPageBreak/>
              <w:t>Kutumba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926D9F">
            <w:pPr>
              <w:spacing w:after="0" w:line="240" w:lineRule="auto" w:before="0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Kutumba family / household database integration</w:t>
            </w:r>
          </w:p>
        </w:tc>
        <w:tc>
          <w:tcPr>
            <w:tcW w:w="192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926D9F">
            <w:pPr>
              <w:spacing w:after="0" w:line="240" w:lineRule="auto" w:before="0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Family / household data exchange for eligible Kaveri services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926D9F">
            <w:pPr>
              <w:spacing w:after="0" w:line="240" w:lineRule="auto" w:before="0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Sandbox SIT; integration war-room; change windows</w:t>
            </w:r>
          </w:p>
        </w:tc>
        <w:tc>
          <w:tcPr>
            <w:tcW w:w="175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4471BF">
            <w:pPr>
              <w:spacing w:after="0" w:line="240" w:lineRule="auto" w:before="0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Interface SLAs and change windows (jointly with DSR)</w:t>
            </w:r>
          </w:p>
        </w:tc>
      </w:tr>
      <w:tr w:rsidR="00926D9F" w:rsidRPr="00F06DA7" w:rsidTr="003A799F">
        <w:trPr>
          <w:jc w:val="center"/>
        </w:trPr>
        <w:tc>
          <w:tcPr>
            <w:tcW w:w="2041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926D9F">
            <w:pPr>
              <w:spacing w:after="0" w:line="240" w:lineRule="auto" w:before="0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b/>
                <w:color w:val="1F4E79"/>
                <w:sz w:val="16"/>
              </w:rPr>
              <w:t>Civil Registration System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926D9F">
            <w:pPr>
              <w:spacing w:after="0" w:line="240" w:lineRule="auto" w:before="0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Civil Registration System (birth / death / related) partner</w:t>
            </w:r>
          </w:p>
        </w:tc>
        <w:tc>
          <w:tcPr>
            <w:tcW w:w="192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926D9F">
            <w:pPr>
              <w:spacing w:after="0" w:line="240" w:lineRule="auto" w:before="0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Civil registration data exchange for marriage and related workflows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926D9F">
            <w:pPr>
              <w:spacing w:after="0" w:line="240" w:lineRule="auto" w:before="0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Sandbox SIT; integration war-room; change windows</w:t>
            </w:r>
          </w:p>
        </w:tc>
        <w:tc>
          <w:tcPr>
            <w:tcW w:w="175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4471BF">
            <w:pPr>
              <w:spacing w:after="0" w:line="240" w:lineRule="auto" w:before="0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Interface SLAs and change windows (jointly with DSR)</w:t>
            </w:r>
          </w:p>
        </w:tc>
      </w:tr>
      <w:tr w:rsidR="00926D9F" w:rsidRPr="00F06DA7" w:rsidTr="003A799F">
        <w:trPr>
          <w:jc w:val="center"/>
        </w:trPr>
        <w:tc>
          <w:tcPr>
            <w:tcW w:w="2041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926D9F">
            <w:pPr>
              <w:spacing w:after="0" w:line="240" w:lineRule="auto" w:before="0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b/>
                <w:color w:val="1F4E79"/>
                <w:sz w:val="16"/>
              </w:rPr>
              <w:t>Labour Department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926D9F">
            <w:pPr>
              <w:spacing w:after="0" w:line="240" w:lineRule="auto" w:before="0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Labour Department systems</w:t>
            </w:r>
          </w:p>
        </w:tc>
        <w:tc>
          <w:tcPr>
            <w:tcW w:w="192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926D9F">
            <w:pPr>
              <w:spacing w:after="0" w:line="240" w:lineRule="auto" w:before="0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Labour-department data exchange where mandated for registration / verification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926D9F">
            <w:pPr>
              <w:spacing w:after="0" w:line="240" w:lineRule="auto" w:before="0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Sandbox SIT; integration war-room; change windows</w:t>
            </w:r>
          </w:p>
        </w:tc>
        <w:tc>
          <w:tcPr>
            <w:tcW w:w="175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4471BF">
            <w:pPr>
              <w:spacing w:after="0" w:line="240" w:lineRule="auto" w:before="0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Interface SLAs and change windows (jointly with DSR / Labour)</w:t>
            </w:r>
          </w:p>
        </w:tc>
      </w:tr>
      <w:tr w:rsidR="00926D9F" w:rsidRPr="00F06DA7" w:rsidTr="003A799F">
        <w:trPr>
          <w:jc w:val="center"/>
        </w:trPr>
        <w:tc>
          <w:tcPr>
            <w:tcW w:w="2041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926D9F">
            <w:pPr>
              <w:spacing w:after="0" w:line="240" w:lineRule="auto" w:before="0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b/>
                <w:color w:val="1F4E79"/>
                <w:sz w:val="16"/>
              </w:rPr>
              <w:t>Sakala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926D9F">
            <w:pPr>
              <w:spacing w:after="0" w:line="240" w:lineRule="auto" w:before="0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Karnataka Guarantee of Services to Citizen platform</w:t>
            </w:r>
          </w:p>
        </w:tc>
        <w:tc>
          <w:tcPr>
            <w:tcW w:w="192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926D9F">
            <w:pPr>
              <w:spacing w:after="0" w:line="240" w:lineRule="auto" w:before="0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Service timelines, GSC issuance and statutory status sync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926D9F">
            <w:pPr>
              <w:spacing w:after="0" w:line="240" w:lineRule="auto" w:before="0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Sandbox SIT; integration war-room; SLA reviews</w:t>
            </w:r>
          </w:p>
        </w:tc>
        <w:tc>
          <w:tcPr>
            <w:tcW w:w="175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4471BF">
            <w:pPr>
              <w:spacing w:after="0" w:line="240" w:lineRule="auto" w:before="0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Service-timeline interface SLAs and change windows (jointly with DSR)</w:t>
            </w:r>
          </w:p>
        </w:tc>
      </w:tr>
      <w:tr w:rsidR="00926D9F" w:rsidRPr="00F06DA7" w:rsidTr="003A799F">
        <w:trPr>
          <w:jc w:val="center"/>
        </w:trPr>
        <w:tc>
          <w:tcPr>
            <w:tcW w:w="2041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926D9F">
            <w:pPr>
              <w:spacing w:after="0" w:line="240" w:lineRule="auto" w:before="0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b/>
                <w:color w:val="1F4E79"/>
                <w:sz w:val="16"/>
              </w:rPr>
              <w:t>e-Sign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926D9F">
            <w:pPr>
              <w:spacing w:after="0" w:line="240" w:lineRule="auto" w:before="0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Aadhaar-based eSign / digital signature services</w:t>
            </w:r>
          </w:p>
        </w:tc>
        <w:tc>
          <w:tcPr>
            <w:tcW w:w="192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926D9F">
            <w:pPr>
              <w:spacing w:after="0" w:line="240" w:lineRule="auto" w:before="0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Citizen eSign and officer digital signature on certificates, deeds, EC/CC and related artefacts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926D9F">
            <w:pPr>
              <w:spacing w:after="0" w:line="240" w:lineRule="auto" w:before="0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Sandbox SIT; integration war-room; change windows</w:t>
            </w:r>
          </w:p>
        </w:tc>
        <w:tc>
          <w:tcPr>
            <w:tcW w:w="175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4471BF">
            <w:pPr>
              <w:spacing w:after="0" w:line="240" w:lineRule="auto" w:before="0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Interface SLAs and signing-service change windows (jointly with DSR)</w:t>
            </w:r>
          </w:p>
        </w:tc>
      </w:tr>
      <w:tr w:rsidR="00926D9F" w:rsidRPr="00F06DA7" w:rsidTr="003A799F">
        <w:trPr>
          <w:jc w:val="center"/>
        </w:trPr>
        <w:tc>
          <w:tcPr>
            <w:tcW w:w="2041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926D9F">
            <w:pPr>
              <w:spacing w:after="0" w:line="240" w:lineRule="auto" w:before="0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b/>
                <w:color w:val="1F4E79"/>
                <w:sz w:val="16"/>
              </w:rPr>
              <w:t>Eswathu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926D9F">
            <w:pPr>
              <w:spacing w:after="0" w:line="240" w:lineRule="auto" w:before="0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Rural property records system (eSwathu)</w:t>
            </w:r>
          </w:p>
        </w:tc>
        <w:tc>
          <w:tcPr>
            <w:tcW w:w="192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926D9F">
            <w:pPr>
              <w:spacing w:after="0" w:line="240" w:lineRule="auto" w:before="0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Rural property pull; mutation / eKhata push where applicable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926D9F">
            <w:pPr>
              <w:spacing w:after="0" w:line="240" w:lineRule="auto" w:before="0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Sandbox SIT; integration war-room; mutation reconciliation</w:t>
            </w:r>
          </w:p>
        </w:tc>
        <w:tc>
          <w:tcPr>
            <w:tcW w:w="175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4471BF">
            <w:pPr>
              <w:spacing w:after="0" w:line="240" w:lineRule="auto" w:before="0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Property/mutation interface SLAs and change windows (jointly with DSR / RDPR)</w:t>
            </w:r>
          </w:p>
        </w:tc>
      </w:tr>
      <w:tr w:rsidR="00926D9F" w:rsidRPr="00F06DA7" w:rsidTr="003A799F">
        <w:trPr>
          <w:jc w:val="center"/>
        </w:trPr>
        <w:tc>
          <w:tcPr>
            <w:tcW w:w="2041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926D9F">
            <w:pPr>
              <w:spacing w:after="0" w:line="240" w:lineRule="auto" w:before="0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b/>
                <w:color w:val="1F4E79"/>
                <w:sz w:val="16"/>
              </w:rPr>
              <w:t>Eaasthi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926D9F">
            <w:pPr>
              <w:spacing w:after="0" w:line="240" w:lineRule="auto" w:before="0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Urban property records system (eAasthi)</w:t>
            </w:r>
          </w:p>
        </w:tc>
        <w:tc>
          <w:tcPr>
            <w:tcW w:w="192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926D9F">
            <w:pPr>
              <w:spacing w:after="0" w:line="240" w:lineRule="auto" w:before="0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Urban property pull; mutation / eKhata push where applicable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926D9F">
            <w:pPr>
              <w:spacing w:after="0" w:line="240" w:lineRule="auto" w:before="0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Sandbox SIT; integration war-room; mutation reconciliation</w:t>
            </w:r>
          </w:p>
        </w:tc>
        <w:tc>
          <w:tcPr>
            <w:tcW w:w="175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4471BF">
            <w:pPr>
              <w:spacing w:after="0" w:line="240" w:lineRule="auto" w:before="0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Property/mutation interface SLAs and change windows (jointly with DSR / ULB)</w:t>
            </w:r>
          </w:p>
        </w:tc>
      </w:tr>
      <w:tr w:rsidR="00926D9F" w:rsidRPr="00F06DA7" w:rsidTr="003A799F">
        <w:trPr>
          <w:jc w:val="center"/>
        </w:trPr>
        <w:tc>
          <w:tcPr>
            <w:tcW w:w="2041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926D9F">
            <w:pPr>
              <w:spacing w:after="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b/>
                <w:color w:val="1F4E79"/>
                <w:sz w:val="16"/>
              </w:rPr>
              <w:t>ULMS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926D9F">
            <w:pPr>
              <w:spacing w:after="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Urban land / property management system (non-eAasthi urban properties)</w:t>
            </w:r>
          </w:p>
        </w:tc>
        <w:tc>
          <w:tcPr>
            <w:tcW w:w="192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926D9F">
            <w:pPr>
              <w:spacing w:after="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Property pull and mutation support for urban properties not covered by eAasthi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926D9F">
            <w:pPr>
              <w:spacing w:after="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Sandbox SIT; integration war-room; mutation reconciliation</w:t>
            </w:r>
          </w:p>
        </w:tc>
        <w:tc>
          <w:tcPr>
            <w:tcW w:w="175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4471BF">
            <w:pPr>
              <w:spacing w:after="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Interface SLAs and change windows (jointly with DSR / ULB)</w:t>
            </w:r>
          </w:p>
        </w:tc>
      </w:tr>
      <w:tr w:rsidR="00926D9F" w:rsidRPr="00F06DA7" w:rsidTr="003A799F">
        <w:trPr>
          <w:jc w:val="center"/>
        </w:trPr>
        <w:tc>
          <w:tcPr>
            <w:tcW w:w="2041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926D9F">
            <w:pPr>
              <w:spacing w:after="0" w:line="240" w:lineRule="auto" w:before="0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b/>
                <w:color w:val="1F4E79"/>
                <w:sz w:val="16"/>
              </w:rPr>
              <w:t>Passport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926D9F">
            <w:pPr>
              <w:spacing w:after="0" w:line="240" w:lineRule="auto" w:before="0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Passport verification / related services</w:t>
            </w:r>
          </w:p>
        </w:tc>
        <w:tc>
          <w:tcPr>
            <w:tcW w:w="192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926D9F">
            <w:pPr>
              <w:spacing w:after="0" w:line="240" w:lineRule="auto" w:before="0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Passport data validation for eligible Kaveri identity / party flows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926D9F">
            <w:pPr>
              <w:spacing w:after="0" w:line="240" w:lineRule="auto" w:before="0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Sandbox SIT; integration war-room; change windows</w:t>
            </w:r>
          </w:p>
        </w:tc>
        <w:tc>
          <w:tcPr>
            <w:tcW w:w="175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4471BF">
            <w:pPr>
              <w:spacing w:after="0" w:line="240" w:lineRule="auto" w:before="0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Interface SLAs and change windows (jointly with DSR)</w:t>
            </w:r>
          </w:p>
        </w:tc>
      </w:tr>
      <w:tr w:rsidR="00926D9F" w:rsidRPr="00F06DA7" w:rsidTr="003A799F">
        <w:trPr>
          <w:jc w:val="center"/>
        </w:trPr>
        <w:tc>
          <w:tcPr>
            <w:tcW w:w="2041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926D9F">
            <w:pPr>
              <w:spacing w:after="0" w:line="240" w:lineRule="auto" w:before="0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b/>
                <w:color w:val="1F4E79"/>
                <w:sz w:val="16"/>
              </w:rPr>
              <w:t>PAN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926D9F">
            <w:pPr>
              <w:spacing w:after="0" w:line="240" w:lineRule="auto" w:before="0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PAN verification services</w:t>
            </w:r>
          </w:p>
        </w:tc>
        <w:tc>
          <w:tcPr>
            <w:tcW w:w="192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926D9F">
            <w:pPr>
              <w:spacing w:after="0" w:line="240" w:lineRule="auto" w:before="0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PAN validation for parties where mandated (including SFT-related use where approved)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926D9F">
            <w:pPr>
              <w:spacing w:after="0" w:line="240" w:lineRule="auto" w:before="0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Sandbox SIT; integration war-room; change windows</w:t>
            </w:r>
          </w:p>
        </w:tc>
        <w:tc>
          <w:tcPr>
            <w:tcW w:w="175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4471BF">
            <w:pPr>
              <w:spacing w:after="0" w:line="240" w:lineRule="auto" w:before="0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Interface SLAs and change windows (jointly with DSR)</w:t>
            </w:r>
          </w:p>
        </w:tc>
      </w:tr>
      <w:tr w:rsidR="00926D9F" w:rsidRPr="00F06DA7" w:rsidTr="003A799F">
        <w:trPr>
          <w:jc w:val="center"/>
        </w:trPr>
        <w:tc>
          <w:tcPr>
            <w:tcW w:w="2041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926D9F">
            <w:pPr>
              <w:spacing w:after="0" w:line="240" w:lineRule="auto" w:before="0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b/>
                <w:color w:val="1F4E79"/>
                <w:sz w:val="16"/>
              </w:rPr>
              <w:t>Bhoomi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926D9F">
            <w:pPr>
              <w:spacing w:after="0" w:line="240" w:lineRule="auto" w:before="0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Agricultural land records system (Bhoomi)</w:t>
            </w:r>
          </w:p>
        </w:tc>
        <w:tc>
          <w:tcPr>
            <w:tcW w:w="192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926D9F">
            <w:pPr>
              <w:spacing w:after="0" w:line="240" w:lineRule="auto" w:before="0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Agri property pull; mutation push after registration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926D9F">
            <w:pPr>
              <w:spacing w:after="0" w:line="240" w:lineRule="auto" w:before="0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Sandbox SIT; integration war-room; mutation reconciliation</w:t>
            </w:r>
          </w:p>
        </w:tc>
        <w:tc>
          <w:tcPr>
            <w:tcW w:w="175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4471BF">
            <w:pPr>
              <w:spacing w:after="0" w:line="240" w:lineRule="auto" w:before="0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Property/mutation interface SLAs and change windows (jointly with DSR / Revenue)</w:t>
            </w:r>
          </w:p>
        </w:tc>
      </w:tr>
      <w:tr w:rsidR="00926D9F" w:rsidRPr="00F06DA7" w:rsidTr="003A799F">
        <w:trPr>
          <w:jc w:val="center"/>
        </w:trPr>
        <w:tc>
          <w:tcPr>
            <w:tcW w:w="2041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926D9F">
            <w:pPr>
              <w:spacing w:after="0" w:line="240" w:lineRule="auto" w:before="0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b/>
                <w:color w:val="1F4E79"/>
                <w:sz w:val="16"/>
              </w:rPr>
              <w:t>KSRSAC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926D9F">
            <w:pPr>
              <w:spacing w:after="0" w:line="240" w:lineRule="auto" w:before="0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Karnataka State Remote Sensing Applications Centre (GIS / map services)</w:t>
            </w:r>
          </w:p>
        </w:tc>
        <w:tc>
          <w:tcPr>
            <w:tcW w:w="192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926D9F">
            <w:pPr>
              <w:spacing w:after="0" w:line="240" w:lineRule="auto" w:before="0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Map / GIS layer support for valuation and related spatial flows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926D9F">
            <w:pPr>
              <w:spacing w:after="0" w:line="240" w:lineRule="auto" w:before="0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Sandbox SIT; integration war-room; change windows</w:t>
            </w:r>
          </w:p>
        </w:tc>
        <w:tc>
          <w:tcPr>
            <w:tcW w:w="175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4471BF">
            <w:pPr>
              <w:spacing w:after="0" w:line="240" w:lineRule="auto" w:before="0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Interface SLAs and change windows (jointly with DSR)</w:t>
            </w:r>
          </w:p>
        </w:tc>
      </w:tr>
      <w:tr w:rsidR="00926D9F" w:rsidRPr="00F06DA7" w:rsidTr="003A799F">
        <w:trPr>
          <w:jc w:val="center"/>
        </w:trPr>
        <w:tc>
          <w:tcPr>
            <w:tcW w:w="2041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926D9F">
            <w:pPr>
              <w:spacing w:after="0" w:line="240" w:lineRule="auto" w:before="0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b/>
                <w:color w:val="1F4E79"/>
                <w:sz w:val="16"/>
              </w:rPr>
              <w:t>FRUITS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926D9F">
            <w:pPr>
              <w:spacing w:after="0" w:line="240" w:lineRule="auto" w:before="0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FRUITS agri mortgage / release filing system</w:t>
            </w:r>
          </w:p>
        </w:tc>
        <w:tc>
          <w:tcPr>
            <w:tcW w:w="192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926D9F">
            <w:pPr>
              <w:spacing w:after="0" w:line="240" w:lineRule="auto" w:before="0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Agri mortgage / release filing and related EC / notification exchange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926D9F">
            <w:pPr>
              <w:spacing w:after="0" w:line="240" w:lineRule="auto" w:before="0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Sandbox SIT; integration war-room; change windows</w:t>
            </w:r>
          </w:p>
        </w:tc>
        <w:tc>
          <w:tcPr>
            <w:tcW w:w="175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4471BF">
            <w:pPr>
              <w:spacing w:after="0" w:line="240" w:lineRule="auto" w:before="0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Interface SLAs and change windows (jointly with DSR)</w:t>
            </w:r>
          </w:p>
        </w:tc>
      </w:tr>
      <w:tr w:rsidR="00926D9F" w:rsidRPr="00F06DA7" w:rsidTr="003A799F">
        <w:trPr>
          <w:jc w:val="center"/>
        </w:trPr>
        <w:tc>
          <w:tcPr>
            <w:tcW w:w="2041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406B78" w:rsidP="00926D9F">
            <w:pPr>
              <w:spacing w:after="0" w:line="240" w:lineRule="auto" w:before="0"/>
              <w:rPr>
                <w:rFonts w:ascii="Calibri" w:eastAsia="Times New Roman" w:hAnsi="Calibri" w:cs="Calibri"/>
                <w:lang w:eastAsia="en-IN"/>
              </w:rPr>
            </w:pPr>
            <w:proofErr w:type="spellStart"/>
            <w:r>
              <w:rPr>
                <w:rFonts w:ascii="Calibri" w:eastAsia="Calibri" w:hAnsi="Calibri"/>
                <w:b/>
                <w:color w:val="1F4E79"/>
                <w:sz w:val="16"/>
              </w:rPr>
              <w:t>Moj</w:t>
            </w:r>
            <w:r w:rsidR="00926D9F">
              <w:rPr>
                <w:rFonts w:ascii="Calibri" w:eastAsia="Calibri" w:hAnsi="Calibri"/>
                <w:b/>
                <w:color w:val="1F4E79"/>
                <w:sz w:val="16"/>
              </w:rPr>
              <w:t>ini</w:t>
            </w:r>
            <w:proofErr w:type="spellEnd"/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406B78">
            <w:pPr>
              <w:spacing w:after="0" w:line="240" w:lineRule="auto" w:before="0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Mo</w:t>
            </w:r>
            <w:r w:rsidR="00406B78">
              <w:rPr>
                <w:rFonts w:ascii="Calibri" w:eastAsia="Calibri" w:hAnsi="Calibri"/>
                <w:color w:val="242424"/>
                <w:sz w:val="16"/>
              </w:rPr>
              <w:t>j</w:t>
            </w:r>
            <w:bookmarkStart w:id="0" w:name="_GoBack"/>
            <w:bookmarkEnd w:id="0"/>
            <w:r>
              <w:rPr>
                <w:rFonts w:ascii="Calibri" w:eastAsia="Calibri" w:hAnsi="Calibri"/>
                <w:color w:val="242424"/>
                <w:sz w:val="16"/>
              </w:rPr>
              <w:t>ini (survey / agri property) system</w:t>
            </w:r>
          </w:p>
        </w:tc>
        <w:tc>
          <w:tcPr>
            <w:tcW w:w="192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926D9F">
            <w:pPr>
              <w:spacing w:after="0" w:line="240" w:lineRule="auto" w:before="0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Survey / agri property data exchange alongside Bhoomi flows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926D9F">
            <w:pPr>
              <w:spacing w:after="0" w:line="240" w:lineRule="auto" w:before="0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Sandbox SIT; integration war-room; change windows</w:t>
            </w:r>
          </w:p>
        </w:tc>
        <w:tc>
          <w:tcPr>
            <w:tcW w:w="175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4471BF">
            <w:pPr>
              <w:spacing w:after="0" w:line="240" w:lineRule="auto" w:before="0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Interface SLAs and change windows (jointly with DSR / Revenue)</w:t>
            </w:r>
          </w:p>
        </w:tc>
      </w:tr>
      <w:tr w:rsidR="00926D9F" w:rsidRPr="00F06DA7" w:rsidTr="003A799F">
        <w:trPr>
          <w:jc w:val="center"/>
        </w:trPr>
        <w:tc>
          <w:tcPr>
            <w:tcW w:w="2041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926D9F">
            <w:pPr>
              <w:spacing w:after="0" w:line="240" w:lineRule="auto" w:before="0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b/>
                <w:color w:val="1F4E79"/>
                <w:sz w:val="16"/>
              </w:rPr>
              <w:t>Income Tax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926D9F">
            <w:pPr>
              <w:spacing w:after="0" w:line="240" w:lineRule="auto" w:before="0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Income Tax Department systems / access</w:t>
            </w:r>
          </w:p>
        </w:tc>
        <w:tc>
          <w:tcPr>
            <w:tcW w:w="192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926D9F">
            <w:pPr>
              <w:spacing w:after="0" w:line="240" w:lineRule="auto" w:before="0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Inter-department access and data exchange for Income Tax use cases on Kaveri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926D9F">
            <w:pPr>
              <w:spacing w:after="0" w:line="240" w:lineRule="auto" w:before="0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Admin provisioning; sandbox SIT where APIs apply; change windows</w:t>
            </w:r>
          </w:p>
        </w:tc>
        <w:tc>
          <w:tcPr>
            <w:tcW w:w="175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4471BF">
            <w:pPr>
              <w:spacing w:after="0" w:line="240" w:lineRule="auto" w:before="0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Interface / access SLAs and change windows (jointly with DSR / ITD)</w:t>
            </w:r>
          </w:p>
        </w:tc>
      </w:tr>
      <w:tr w:rsidR="00926D9F" w:rsidRPr="00F06DA7" w:rsidTr="003A799F">
        <w:trPr>
          <w:jc w:val="center"/>
        </w:trPr>
        <w:tc>
          <w:tcPr>
            <w:tcW w:w="2041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926D9F">
            <w:pPr>
              <w:spacing w:after="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b/>
                <w:color w:val="1F4E79"/>
                <w:sz w:val="16"/>
              </w:rPr>
              <w:t>NIC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926D9F">
            <w:pPr>
              <w:spacing w:after="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National Informatics Centre — custodian / partner for eSwathu, eAasthi and related state platforms</w:t>
            </w:r>
          </w:p>
        </w:tc>
        <w:tc>
          <w:tcPr>
            <w:tcW w:w="192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926D9F">
            <w:pPr>
              <w:spacing w:after="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Availability and change control of NIC-hosted property and citizen platforms used by Kaveri integrations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926D9F">
            <w:pPr>
              <w:spacing w:after="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Integration war-rooms; change windows; joint SIT with RDPR / UDD / DSR</w:t>
            </w:r>
          </w:p>
        </w:tc>
        <w:tc>
          <w:tcPr>
            <w:tcW w:w="175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4471BF">
            <w:pPr>
              <w:spacing w:after="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NIC platform SLAs and change windows (jointly with DSR)</w:t>
            </w:r>
          </w:p>
        </w:tc>
      </w:tr>
      <w:tr w:rsidR="00926D9F" w:rsidRPr="00F06DA7" w:rsidTr="003A799F">
        <w:trPr>
          <w:jc w:val="center"/>
        </w:trPr>
        <w:tc>
          <w:tcPr>
            <w:tcW w:w="2041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926D9F">
            <w:pPr>
              <w:spacing w:after="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b/>
                <w:color w:val="1F4E79"/>
                <w:sz w:val="16"/>
              </w:rPr>
              <w:t>CSG (Kaveri 2.0)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926D9F">
            <w:pPr>
              <w:spacing w:after="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Centre for Smart Governance — legacy Kaveri 2.0 design, FRS and operational knowledge</w:t>
            </w:r>
          </w:p>
        </w:tc>
        <w:tc>
          <w:tcPr>
            <w:tcW w:w="192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926D9F">
            <w:pPr>
              <w:spacing w:after="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As-is behaviour, FRS / design baseline, KT for migration and parity with Kaveri 2.0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926D9F">
            <w:pPr>
              <w:spacing w:after="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KT sessions; FRS clarification workshops; migration dual-run support</w:t>
            </w:r>
          </w:p>
        </w:tc>
        <w:tc>
          <w:tcPr>
            <w:tcW w:w="175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4471BF">
            <w:pPr>
              <w:spacing w:after="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None on Kaveri 3.0 product decisions (advisory / handover)</w:t>
            </w:r>
          </w:p>
        </w:tc>
      </w:tr>
      <w:tr w:rsidR="00926D9F" w:rsidRPr="00F06DA7" w:rsidTr="003A799F">
        <w:trPr>
          <w:jc w:val="center"/>
        </w:trPr>
        <w:tc>
          <w:tcPr>
            <w:tcW w:w="2041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926D9F">
            <w:pPr>
              <w:spacing w:after="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b/>
                <w:color w:val="1F4E79"/>
                <w:sz w:val="16"/>
              </w:rPr>
              <w:t>CEG (Centre for e-Governance)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926D9F">
            <w:pPr>
              <w:spacing w:after="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Centre for e-Governance — Aadhaar e-KYC, e-Sign, DigiLocker, FRUITS, Sakala, ULMS and related e-Gov services</w:t>
            </w:r>
          </w:p>
        </w:tc>
        <w:tc>
          <w:tcPr>
            <w:tcW w:w="192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926D9F">
            <w:pPr>
              <w:spacing w:after="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Reliable statewide e-Gov platform services consumed by Kaveri 3.0 integrations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926D9F">
            <w:pPr>
              <w:spacing w:after="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Integration war-rooms; sandbox SIT; SLA / change-window coordination</w:t>
            </w:r>
          </w:p>
        </w:tc>
        <w:tc>
          <w:tcPr>
            <w:tcW w:w="175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4471BF">
            <w:pPr>
              <w:spacing w:after="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e-Gov platform SLAs and change windows (jointly with DSR)</w:t>
            </w:r>
          </w:p>
        </w:tc>
      </w:tr>
      <w:tr w:rsidR="00926D9F" w:rsidRPr="00F06DA7" w:rsidTr="003A799F">
        <w:trPr>
          <w:jc w:val="center"/>
        </w:trPr>
        <w:tc>
          <w:tcPr>
            <w:tcW w:w="2041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926D9F">
            <w:pPr>
              <w:spacing w:after="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b/>
                <w:color w:val="1F4E79"/>
                <w:sz w:val="16"/>
              </w:rPr>
              <w:t>CMS (System Integrator for Kaveri 2.0)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926D9F">
            <w:pPr>
              <w:spacing w:after="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Current system integrator and O&amp;M partner for Kaveri 2.0</w:t>
            </w:r>
          </w:p>
        </w:tc>
        <w:tc>
          <w:tcPr>
            <w:tcW w:w="192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926D9F">
            <w:pPr>
              <w:spacing w:after="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Production as-is support, data extracts, dual-run and cutover coordination during Kaveri 3.0 transition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926D9F">
            <w:pPr>
              <w:spacing w:after="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KT / war-rooms; migration freeze windows; hypercare handoff</w:t>
            </w:r>
          </w:p>
        </w:tc>
        <w:tc>
          <w:tcPr>
            <w:tcW w:w="175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4471BF">
            <w:pPr>
              <w:spacing w:after="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None on Kaveri 3.0 build decisions (transition support within agreed SI scope)</w:t>
            </w:r>
          </w:p>
        </w:tc>
      </w:tr>
      <w:tr w:rsidR="00926D9F" w:rsidRPr="00F06DA7" w:rsidTr="003A799F">
        <w:trPr>
          <w:jc w:val="center"/>
        </w:trPr>
        <w:tc>
          <w:tcPr>
            <w:tcW w:w="2041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926D9F">
            <w:pPr>
              <w:spacing w:after="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b/>
                <w:color w:val="1F4E79"/>
                <w:sz w:val="16"/>
              </w:rPr>
              <w:t>Kaveri Call Center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926D9F">
            <w:pPr>
              <w:spacing w:after="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Citizen / department helpdesk for Kaveri services</w:t>
            </w:r>
          </w:p>
        </w:tc>
        <w:tc>
          <w:tcPr>
            <w:tcW w:w="192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926D9F">
            <w:pPr>
              <w:spacing w:after="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First-line support, ticket triage and citizen guidance across modules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926D9F">
            <w:pPr>
              <w:spacing w:after="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SOP / training before each phase Go-Live; L1–L2 handoff; hypercare staffing</w:t>
            </w:r>
          </w:p>
        </w:tc>
        <w:tc>
          <w:tcPr>
            <w:tcW w:w="175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4471BF">
            <w:pPr>
              <w:spacing w:after="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None (operational support within published SOPs)</w:t>
            </w:r>
          </w:p>
        </w:tc>
      </w:tr>
      <w:tr w:rsidR="00926D9F" w:rsidRPr="00F06DA7" w:rsidTr="003A799F">
        <w:trPr>
          <w:jc w:val="center"/>
        </w:trPr>
        <w:tc>
          <w:tcPr>
            <w:tcW w:w="2041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926D9F">
            <w:pPr>
              <w:spacing w:after="0" w:line="240" w:lineRule="auto" w:before="0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b/>
                <w:color w:val="1F4E79"/>
                <w:sz w:val="16"/>
              </w:rPr>
              <w:t>Kaveri IT Cell delivery &amp; ops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926D9F">
            <w:pPr>
              <w:spacing w:after="0" w:line="240" w:lineRule="auto" w:before="0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Architect, Tech Leads, BA, Full Stack, Integration, UI/UX, DBA, Migration, QA/Test, Perf/Security, DevOps, Security, BI, Content, Transition, L2</w:t>
            </w:r>
          </w:p>
        </w:tc>
        <w:tc>
          <w:tcPr>
            <w:tcW w:w="192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926D9F">
            <w:pPr>
              <w:spacing w:after="0" w:line="240" w:lineRule="auto" w:before="0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Design, build, migrate, test, deploy, observe and hypercare Kaveri 3.0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4471BF">
            <w:pPr>
              <w:spacing w:after="0" w:line="240" w:lineRule="auto" w:before="0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Architecture sync; release training; L2 hypercare</w:t>
            </w:r>
          </w:p>
        </w:tc>
        <w:tc>
          <w:tcPr>
            <w:tcW w:w="175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4471BF">
            <w:pPr>
              <w:spacing w:after="0" w:line="240" w:lineRule="auto" w:before="0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Technical design within NFR; release-readiness recommendation to committee</w:t>
            </w:r>
          </w:p>
        </w:tc>
      </w:tr>
      <w:tr w:rsidR="00926D9F" w:rsidRPr="00F06DA7" w:rsidTr="003A799F">
        <w:trPr>
          <w:jc w:val="center"/>
        </w:trPr>
        <w:tc>
          <w:tcPr>
            <w:tcW w:w="2041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926D9F">
            <w:pPr>
              <w:spacing w:after="0" w:line="240" w:lineRule="auto" w:before="0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b/>
                <w:color w:val="1F4E79"/>
                <w:sz w:val="16"/>
              </w:rPr>
              <w:t>SDC / Infrastructure operations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926D9F">
            <w:pPr>
              <w:spacing w:after="0" w:line="240" w:lineRule="auto" w:before="0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State Data Centre hosting, network (incl. KSWAN for department UI) and WAF</w:t>
            </w:r>
          </w:p>
        </w:tc>
        <w:tc>
          <w:tcPr>
            <w:tcW w:w="192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4471BF">
            <w:pPr>
              <w:spacing w:after="0" w:line="240" w:lineRule="auto" w:before="0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Environments (Pre-Prod/Prod), capacity, connectivity and infra change windows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926D9F">
            <w:pPr>
              <w:spacing w:after="0" w:line="240" w:lineRule="auto" w:before="0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Ops coordination; deployment and rollback windows</w:t>
            </w:r>
          </w:p>
        </w:tc>
        <w:tc>
          <w:tcPr>
            <w:tcW w:w="175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926D9F">
            <w:pPr>
              <w:spacing w:after="0" w:line="240" w:lineRule="auto" w:before="0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Calibri" w:hAnsi="Calibri"/>
                <w:color w:val="242424"/>
                <w:sz w:val="16"/>
              </w:rPr>
              <w:t>Infra capacity, network and change-window approval</w:t>
            </w:r>
          </w:p>
        </w:tc>
      </w:tr>
    </w:tbl>
    <w:p w:rsidR="00D1289F" w:rsidRDefault="00D1289F"/>
    <w:sectPr w:rsidR="00D1289F">
      <w:pgSz w:w="11906" w:h="16838"/>
      <w:pgMar w:top="907" w:right="1020" w:bottom="907" w:left="10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356A0F"/>
    <w:multiLevelType w:val="multilevel"/>
    <w:tmpl w:val="3C7E20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71595A"/>
    <w:multiLevelType w:val="multilevel"/>
    <w:tmpl w:val="1D164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8775C0D"/>
    <w:multiLevelType w:val="multilevel"/>
    <w:tmpl w:val="73B67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1F72C12"/>
    <w:multiLevelType w:val="multilevel"/>
    <w:tmpl w:val="BE5C60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6D9F"/>
    <w:rsid w:val="00031631"/>
    <w:rsid w:val="00037B18"/>
    <w:rsid w:val="00152FF9"/>
    <w:rsid w:val="002420D1"/>
    <w:rsid w:val="00250807"/>
    <w:rsid w:val="002712B0"/>
    <w:rsid w:val="003443F5"/>
    <w:rsid w:val="003A799F"/>
    <w:rsid w:val="003C3D3A"/>
    <w:rsid w:val="003C3DB7"/>
    <w:rsid w:val="003F2829"/>
    <w:rsid w:val="00406B78"/>
    <w:rsid w:val="004471BF"/>
    <w:rsid w:val="00551C26"/>
    <w:rsid w:val="00557DD9"/>
    <w:rsid w:val="00580BA2"/>
    <w:rsid w:val="00656580"/>
    <w:rsid w:val="006D0F54"/>
    <w:rsid w:val="00701ADC"/>
    <w:rsid w:val="00755E90"/>
    <w:rsid w:val="0084280E"/>
    <w:rsid w:val="00861E30"/>
    <w:rsid w:val="008C147C"/>
    <w:rsid w:val="009260FE"/>
    <w:rsid w:val="00926D9F"/>
    <w:rsid w:val="00997F17"/>
    <w:rsid w:val="00A230D8"/>
    <w:rsid w:val="00A93664"/>
    <w:rsid w:val="00AF118F"/>
    <w:rsid w:val="00B22349"/>
    <w:rsid w:val="00B40563"/>
    <w:rsid w:val="00B70671"/>
    <w:rsid w:val="00B90ECE"/>
    <w:rsid w:val="00BF3835"/>
    <w:rsid w:val="00C43098"/>
    <w:rsid w:val="00CB58BA"/>
    <w:rsid w:val="00D1289F"/>
    <w:rsid w:val="00D86C45"/>
    <w:rsid w:val="00E4441F"/>
    <w:rsid w:val="00F06DA7"/>
    <w:rsid w:val="00F14D12"/>
    <w:rsid w:val="00FC340C"/>
    <w:rsid w:val="00FF1B9B"/>
    <w:rsid w:val="00FF2E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FFF883"/>
  <w15:chartTrackingRefBased/>
  <w15:docId w15:val="{0A4BAF22-5BEF-41C5-9F1F-9C48A18D3C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rsid w:val="00926D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xmsonormal">
    <w:name w:val="x_msonormal"/>
    <w:basedOn w:val="Normal"/>
    <w:rsid w:val="00926D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fui-buttonicon">
    <w:name w:val="fui-button__icon"/>
    <w:basedOn w:val="DefaultParagraphFont"/>
    <w:rsid w:val="00926D9F"/>
  </w:style>
  <w:style w:type="paragraph" w:styleId="NormalWeb">
    <w:name w:val="Normal (Web)"/>
    <w:basedOn w:val="Normal"/>
    <w:uiPriority w:val="99"/>
    <w:semiHidden/>
    <w:unhideWhenUsed/>
    <w:rsid w:val="002712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420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3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03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416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08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533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97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167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86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4155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60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370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87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807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97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449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2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916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54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1370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92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171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23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741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50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8394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19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7492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93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941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21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80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95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9296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23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378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52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8546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80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576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04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801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10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910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95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2878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21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45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42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49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85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688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78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649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87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3139</Words>
  <Characters>17894</Characters>
  <Application>Microsoft Office Word</Application>
  <DocSecurity>0</DocSecurity>
  <Lines>149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7</cp:revision>
  <dcterms:created xsi:type="dcterms:W3CDTF">2026-09-23T11:34:00Z</dcterms:created>
  <dcterms:modified xsi:type="dcterms:W3CDTF">2026-09-23T11:43:00Z</dcterms:modified>
</cp:coreProperties>
</file>