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B18" w:rsidRPr="00037B18" w:rsidRDefault="00926D9F" w:rsidP="00037B18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6D9F">
        <w:rPr>
          <w:rFonts w:ascii="Arial" w:eastAsia="Times New Roman" w:hAnsi="Arial" w:cs="Arial"/>
          <w:color w:val="242424"/>
          <w:bdr w:val="none" w:sz="0" w:space="0" w:color="auto" w:frame="1"/>
          <w:lang w:val="en-US" w:eastAsia="en-IN"/>
        </w:rPr>
        <w:t> </w:t>
      </w:r>
      <w:bookmarkStart w:id="0" w:name="_GoBack"/>
      <w:r w:rsidR="00037B18" w:rsidRPr="00037B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 Scope</w:t>
      </w:r>
      <w:bookmarkEnd w:id="0"/>
    </w:p>
    <w:p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</w:p>
    <w:p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926D9F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User Management and Role Based Access Management.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Users are divided into 3 types</w:t>
            </w:r>
          </w:p>
          <w:p w:rsidR="00926D9F" w:rsidRPr="00926D9F" w:rsidRDefault="00926D9F" w:rsidP="00926D9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Citizen</w:t>
            </w:r>
          </w:p>
          <w:p w:rsidR="00926D9F" w:rsidRPr="00926D9F" w:rsidRDefault="00926D9F" w:rsidP="00926D9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Department – SRO</w:t>
            </w:r>
          </w:p>
          <w:p w:rsidR="00926D9F" w:rsidRPr="00926D9F" w:rsidRDefault="00926D9F" w:rsidP="00926D9F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Other Department – Income Tax, Banking, Govt. Lawyer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Authentication Mechanism:</w:t>
            </w:r>
          </w:p>
          <w:p w:rsidR="00926D9F" w:rsidRPr="00926D9F" w:rsidRDefault="00926D9F" w:rsidP="00926D9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Citizen – Registration using </w:t>
            </w: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UserID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, Email ID, Mobile Number and verification through e-KYC. User Login through generated OTP.</w:t>
            </w:r>
          </w:p>
          <w:p w:rsidR="00926D9F" w:rsidRPr="00926D9F" w:rsidRDefault="00926D9F" w:rsidP="00926D9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Department – Department Admin creates account using KGID Biometric / Face Authentication.</w:t>
            </w:r>
          </w:p>
          <w:p w:rsidR="00926D9F" w:rsidRPr="00926D9F" w:rsidRDefault="00926D9F" w:rsidP="00926D9F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Other Department – Only Department Admin creates account for Department user using KGID. Biometrics and Face Authentication.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4 Types of Marriage flows</w:t>
            </w:r>
          </w:p>
          <w:p w:rsidR="00926D9F" w:rsidRPr="00926D9F" w:rsidRDefault="00926D9F" w:rsidP="00926D9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Hindu Marriage</w:t>
            </w:r>
          </w:p>
          <w:p w:rsidR="00926D9F" w:rsidRPr="00926D9F" w:rsidRDefault="00926D9F" w:rsidP="00926D9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Special Marriage</w:t>
            </w:r>
          </w:p>
          <w:p w:rsidR="00926D9F" w:rsidRPr="00926D9F" w:rsidRDefault="00926D9F" w:rsidP="00926D9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Special Marriage other forms</w:t>
            </w:r>
          </w:p>
          <w:p w:rsidR="00926D9F" w:rsidRPr="00926D9F" w:rsidRDefault="00926D9F" w:rsidP="00926D9F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Parsi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Marriage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Application has to support both Online and Offline Process.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Online – via </w:t>
            </w: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Kaveri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Application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Offline – In the SR Office, Registration created by SRO.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2 types of registration flows – Paper and Paperless.</w:t>
            </w:r>
          </w:p>
          <w:p>
            <w:r>
              <w:t>Paper – ink-signed deed, physical presentation, scan &amp; store after registration.</w:t>
            </w:r>
          </w:p>
          <w:p>
            <w:r>
              <w:t>Paperless – digital execution (e-Sign / DSC), biometric e-KYC and digital endorsements (Paperless registration-I FRS).</w:t>
            </w:r>
          </w:p>
          <w:p/>
          <w:p>
            <w:r>
              <w:t>Application has to support both Online and Offline Process.</w:t>
            </w:r>
          </w:p>
          <w:p>
            <w:r>
              <w:t>Online – via Kaveri Application / Portal.</w:t>
            </w:r>
          </w:p>
          <w:p>
            <w:r>
              <w:t>Offline – at SRO; data entry and registration by SRO / FDA / SDA / DEO.</w:t>
            </w:r>
          </w:p>
          <w:p/>
          <w:p>
            <w:r>
              <w:t>Citizen / pre-registration flow (FRS – Kaveri 2.0):</w:t>
            </w:r>
          </w:p>
          <w:p>
            <w:r>
              <w:t>Type of Document – Sale, Mortgage, Lease, DoT, Reconveyance, Partition, Release, Gift, Exchange, Settlement, Agreement, GPA, Will, and other articles.</w:t>
            </w:r>
          </w:p>
          <w:p>
            <w:r>
              <w:t>Property Search – Bhoomi, e-Swathu, e-Aasthi and aligned property databases; Property Schedule.</w:t>
            </w:r>
          </w:p>
          <w:p>
            <w:r>
              <w:t>Market Valuation and Fee Calculation (incl. GIS-based agri valuation per GIS FRS v2.1).</w:t>
            </w:r>
          </w:p>
          <w:p>
            <w:r>
              <w:t>Party Information; Document Summary; SRO Confirmation / pre-registration scrutiny.</w:t>
            </w:r>
          </w:p>
          <w:p>
            <w:r>
              <w:t>Payment (incl. e-Stamp / challan) and Appointment Scheduler.</w:t>
            </w:r>
          </w:p>
          <w:p>
            <w:r>
              <w:t>Anywhere registration with Round-robin SRO allocation for pre-registration scrutiny (SRO Round-robin FRS).</w:t>
            </w:r>
          </w:p>
          <w:p/>
          <w:p>
            <w:r>
              <w:t>Department registration flow:</w:t>
            </w:r>
          </w:p>
          <w:p>
            <w:r>
              <w:t>Department login &amp; dashboard; Application allocation to DEO.</w:t>
            </w:r>
          </w:p>
          <w:p>
            <w:r>
              <w:t>Biometric capture (photo / thumb); Aadhaar biometric e-KYC where Aadhaar is POI.</w:t>
            </w:r>
          </w:p>
          <w:p>
            <w:r>
              <w:t>Digital / ink endorsements; Section 60 certificate; unique registration number.</w:t>
            </w:r>
          </w:p>
          <w:p>
            <w:r>
              <w:t>Scan, upload and digitally sign registered document; J-slip to Bhoomi for agricultural property.</w:t>
            </w:r>
          </w:p>
          <w:p>
            <w:r>
              <w:t>Outcomes – Register / Keep Pending / Withdraw / Refuse / Send back to DEO.</w:t>
            </w:r>
          </w:p>
          <w:p/>
          <w:p>
            <w:r>
              <w:t>Extended Document Registration capabilities (CSG FRS suite):</w:t>
            </w:r>
          </w:p>
          <w:p>
            <w:r>
              <w:t>Paperless registration – digital execution after scrutiny; merged deed + thumb register e-signed by parties and SR.</w:t>
            </w:r>
          </w:p>
          <w:p>
            <w:r>
              <w:t>Re-registration of refused documents on DR / Court order (Re-registration FRS).</w:t>
            </w:r>
          </w:p>
          <w:p>
            <w:r>
              <w:t>Kaveri-1 pending document release and continuation in Kaveri 2.0 (K1 pending document FRS).</w:t>
            </w:r>
          </w:p>
          <w:p>
            <w:r>
              <w:t>Registration of Wills after death of the testator (Book No. 3).</w:t>
            </w:r>
          </w:p>
          <w:p>
            <w:r>
              <w:t>Book-I filing – Part-I Other Memo, Part III(b), Rule 17(3) communications from other departments.</w:t>
            </w:r>
          </w:p>
          <w:p>
            <w:r>
              <w:t>Exceptional cases – delay condonation, private attendance, undervaluation / impound, PoA presentation, late appearance, etc. (as in master FRS).</w:t>
            </w:r>
          </w:p>
          <w:p>
            <w:r>
              <w:t>Court Order Entry, Liability, Cross Reference, Sec. 68(2) Correction, Filing Document modules supporting registration.</w:t>
            </w:r>
          </w:p>
          <w:p/>
          <w:p>
            <w:r>
              <w:t>Boundary: Encumbrance Certificate (IS-04), Certified Copy (IS-05) and Digital E-Stamp issue (IS-07) are separate In-Scope items. Firm filing at DRO is IS-06.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Encumberance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[What is included and where the boundary ends]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Certificate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[What is included and where the boundary ends]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Firm services (Firm registration FRS V1.7):</w:t>
            </w:r>
          </w:p>
          <w:p>
            <w:r>
              <w:t>New Firm Registration</w:t>
            </w:r>
          </w:p>
          <w:p>
            <w:r>
              <w:t>Amendment – firm name / principal place of business; other places of business; partner name / address; notice of election on attaining majority</w:t>
            </w:r>
          </w:p>
          <w:p>
            <w:r>
              <w:t>Reconstitution – incoming / outgoing partner</w:t>
            </w:r>
          </w:p>
          <w:p>
            <w:r>
              <w:t>Dissolution of Firm</w:t>
            </w:r>
          </w:p>
          <w:p>
            <w:r>
              <w:t>Protest Entry against Register of Firms entry</w:t>
            </w:r>
          </w:p>
          <w:p>
            <w:r>
              <w:t>Index Search of registered firms</w:t>
            </w:r>
          </w:p>
          <w:p>
            <w:r>
              <w:t>Certified Copy of Register of Firms entries / related forms</w:t>
            </w:r>
          </w:p>
          <w:p/>
          <w:p>
            <w:r>
              <w:t>Application has to support both Online and Offline Process.</w:t>
            </w:r>
          </w:p>
          <w:p>
            <w:r>
              <w:t>Online – via Kaveri Application / Portal.</w:t>
            </w:r>
          </w:p>
          <w:p>
            <w:r>
              <w:t>Offline – at District Registrar Office (DRO); registration / approval by District Registrar.</w:t>
            </w:r>
          </w:p>
          <w:p/>
          <w:p>
            <w:r>
              <w:t>Two-step linkage with Document Registration (IS-03):</w:t>
            </w:r>
          </w:p>
          <w:p>
            <w:r>
              <w:t>1. Partnership / reconstitution / dissolution deed registered at SRO (document registration flow).</w:t>
            </w:r>
          </w:p>
          <w:p>
            <w:r>
              <w:t>2. Firm filing at DRO under the Indian Partnership Act, 1932 (as described in Firm FRS).</w:t>
            </w:r>
          </w:p>
          <w:p/>
          <w:p>
            <w:r>
              <w:t>Core capabilities:</w:t>
            </w:r>
          </w:p>
          <w:p>
            <w:r>
              <w:t>Firm name and address uniqueness search; block duplicate / objectionable names (Emblems and Names Act list).</w:t>
            </w:r>
          </w:p>
          <w:p>
            <w:r>
              <w:t>Fee calculation; acknowledgement and fee receipt.</w:t>
            </w:r>
          </w:p>
          <w:p>
            <w:r>
              <w:t>Unique Firm Registration Number; update Register of Firms and its Index.</w:t>
            </w:r>
          </w:p>
          <w:p>
            <w:r>
              <w:t>Print Certificate of Registration / endorsements (e.g. Form C) as per application type.</w:t>
            </w:r>
          </w:p>
          <w:p>
            <w:r>
              <w:t>Scan and upload of application attachments (Form I, partnership deed copy, declaration, ID / address proof).</w:t>
            </w:r>
          </w:p>
          <w:p>
            <w:r>
              <w:t>A-Register accounting entry; MIS reports; DRO checklist for scrutiny.</w:t>
            </w:r>
          </w:p>
          <w:p>
            <w:r>
              <w:t>Integrations – DigiLocker / e-Sign; SAKALA; Aadhaar dependency; Kaveri-1 to Kaveri-2 firm data migration.</w:t>
            </w:r>
          </w:p>
          <w:p/>
          <w:p>
            <w:r>
              <w:t>Boundary: Firm module at DRO. Deed registration itself is under IS-03 Document Registration. Society Registration is out of this item.</w:t>
            </w:r>
          </w:p>
          <w:p>
            <w:r>
              <w:t>Limitation (per Firm FRS): Form C of Kaveri-1 firms shown as-is; full Form I–VI / Form A for Kaveri-1 firms not available.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Kaveri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3.0 Application should able to connect the following external systems to send and receive data.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EKYC – </w:t>
            </w: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Aadhar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Verification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Khazane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– Payment systems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DigiLocker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lastRenderedPageBreak/>
              <w:t>SMS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EMail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Kutumba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Civil Registration System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Labour</w:t>
            </w:r>
            <w:proofErr w:type="spell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Department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Sakala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e-Sign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CDAC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Eswathu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Eaasthi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Passport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Pan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Bhoomi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KSRAC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FRUITS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spell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Mogini</w:t>
            </w:r>
            <w:proofErr w:type="spellEnd"/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ESCOM?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Income Tax?</w:t>
            </w:r>
          </w:p>
          <w:p w:rsidR="00926D9F" w:rsidRPr="00926D9F" w:rsidRDefault="00926D9F" w:rsidP="00926D9F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NGDRS?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proofErr w:type="gramStart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P.S :</w:t>
            </w:r>
            <w:proofErr w:type="gramEnd"/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 xml:space="preserve"> All external systems are already in place.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lastRenderedPageBreak/>
              <w:t>IS-09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Reporting/Dashboard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Observability and Monitoring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Environment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Database and Migration Approach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  <w:tr w:rsidR="00926D9F" w:rsidRPr="00926D9F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dr w:val="none" w:sz="0" w:space="0" w:color="auto" w:frame="1"/>
                <w:lang w:val="en-US" w:eastAsia="en-IN"/>
              </w:rPr>
              <w:t> </w:t>
            </w:r>
          </w:p>
        </w:tc>
      </w:tr>
    </w:tbl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  <w:r w:rsidRPr="00926D9F"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6"/>
        <w:gridCol w:w="1393"/>
        <w:gridCol w:w="2025"/>
        <w:gridCol w:w="1891"/>
        <w:gridCol w:w="1781"/>
      </w:tblGrid>
      <w:tr w:rsidR="00926D9F" w:rsidRPr="00926D9F" w:rsidTr="00926D9F">
        <w:trPr>
          <w:tblHeader/>
          <w:jc w:val="center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5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IGR &amp; Commissioner of Stamps / Steering Committee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sponsor; head of Department of Stamps and Registration (DSR)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outcomes, statutory compliance, phase Go-Live readiness and residual risk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Fortnightly Steering; Go-Live (G-GL) checklist; escalations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Scope change / swap-in; phase Go-Live approval; residual risk acceptance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AIGR (Computers) &amp; Requirements Committee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and requirements authority for Kaveri 3.0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Correctness and completeness of BR across Marriage, UM, Document, EC/CC, Firm, e-Stamp, Audit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 workshops per schedule v3; daily requirement discussions with Kaveri IT Cell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BRD / domain sign-off; promote or defer scope items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KPMU / Application Admin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Management Unit; system super-admin / IGR nominee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Delivery governance; designated creator roles; sanctioned posts and system-wide configuration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Steering nominee; admin / configuration workshops; UAT sign-off support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Designate creator roles; sanctioned-posts master; KPMU programme decisions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 (Kaveri IT Cell)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ownership for Kaveri 3.0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Roadmap, backlog, sprint goals and stakeholder alignment within approved scope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Sprint review / retro; backlog refinement; Steering pack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Prioritisation and MVP boundary inside Steering-approved scope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Project Manager (Kaveri IT Cell)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/ project delivery management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Plan, milestones, risks, vendor/SLA and O&amp;M reporting across 11-month window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Daily stand-ups; risk reviews; Steering reporting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Schedule and mitigation within Steering bounds; release train coordination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Expert (Stamps &amp; Registration)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 SME (≥20 yrs) for Acts, Rules, forms and fees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Legal fidelity of forms, fees, registers and process rules in software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 workshops; design / UAT reviews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acceptance of rules and forms implemented in Kaveri 3.0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Citizens / Applicants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Public end users of Kaveri portal services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Self-service for Marriage, Document Registration, EC, CC, Firm, Digital e-Stamp and related services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Portal help / KB; sampled UAT; post go-live feedback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None (service consumers)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DSR Officers (SR / DEO / FDA / SDA / DRO / DIGR / AIGR / HQA)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Departmental operational users across SRO / DRO / IGRO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Scrutiny, registration, DEO upload, firm/DRO workflows, MIS, audit and appeals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UAT; training before each phase Go-Live; hypercare support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Operational decisions within statutory powers (admit / refuse / pending / etc.)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Other Department users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Officers / staff of government departments other than DSR with assigned Kaveri access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Controlled access to assigned modules (e.g. Income Tax, Banking, Govt. Lawyer, Revenue)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Admin-provisioned accounts; targeted UAT where modules are shared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None beyond assigned module actions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 owners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Partner systems: e-KYC/UIDAI, Khajane, DigiLocker, eSign/DSC, Sakala, SMS/Email, Bhoomi / e-Swathu / e-Aasthi / ULMS, Kutumba, CRS, Labour, CDAC, Passport, etc.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Reliable authN, payment, notification, mutation and statutory-service data exchange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Integration war-rooms; sandbox SIT;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 / SDC)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Kaveri IT Cell delivery &amp; ops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Design, build, migrate, test, deploy, observe and hypercare Kaveri 3.0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Architecture sync; SIT/UAT; release trains; L2 hypercare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Technical design within AD/NFR; release-readiness recommendation to Steering</w:t>
            </w:r>
          </w:p>
        </w:tc>
      </w:tr>
      <w:tr w:rsidR="00926D9F" w:rsidRPr="00926D9F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SDC / Infrastructure operations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State Data Centre hosting, network (incl. KSWAN for department UI) and WAF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Environments (Staging/Prod), capacity, connectivity and infra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deployment and rollback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Infra capacity, network and change-window approval</w:t>
            </w:r>
          </w:p>
        </w:tc>
      </w:tr>
    </w:tbl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7B18"/>
    <w:rsid w:val="00926D9F"/>
    <w:rsid w:val="00CB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25641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2026-09-22T10:24:00Z</dcterms:created>
  <dcterms:modified xsi:type="dcterms:W3CDTF">2026-09-22T10:31:00Z</dcterms:modified>
</cp:coreProperties>
</file>