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before="0" w:after="40"/>
        <w:jc w:val="left"/>
      </w:pPr>
      <w:r>
        <w:rPr>
          <w:rFonts w:ascii="Calibri" w:hAnsi="Calibri" w:eastAsia="Calibri"/>
          <w:b/>
          <w:color w:val="1F4E79"/>
          <w:sz w:val="40"/>
        </w:rPr>
        <w:t>Kaveri 3.0 — IT Project Scope</w:t>
      </w:r>
    </w:p>
    <w:p>
      <w:pPr>
        <w:spacing w:before="0" w:after="40"/>
        <w:jc w:val="left"/>
      </w:pPr>
      <w:r>
        <w:rPr>
          <w:rFonts w:ascii="Calibri" w:hAnsi="Calibri" w:eastAsia="Calibri"/>
          <w:b w:val="0"/>
          <w:color w:val="242424"/>
          <w:sz w:val="22"/>
        </w:rPr>
        <w:t>Department of Stamps and Registration (DSR), Government of Karnataka</w:t>
      </w:r>
    </w:p>
    <w:p>
      <w:pPr>
        <w:spacing w:before="0" w:after="240"/>
        <w:jc w:val="left"/>
      </w:pPr>
      <w:r>
        <w:rPr>
          <w:rFonts w:ascii="Calibri" w:hAnsi="Calibri" w:eastAsia="Calibri"/>
          <w:b w:val="0"/>
          <w:color w:val="5A6A7A"/>
          <w:sz w:val="18"/>
        </w:rPr>
        <w:t>Document version 1.9  ·  In Scope &amp; Key Stakeholders</w:t>
      </w:r>
    </w:p>
    <w:p w:rsidR="00037B18" w:rsidRPr="00F06DA7" w:rsidRDefault="00926D9F" w:rsidP="00037B18">
      <w:pPr>
        <w:spacing w:before="0" w:after="160"/>
        <w:rPr>
          <w:rFonts w:ascii="Calibri" w:eastAsia="Times New Roman" w:hAnsi="Calibri" w:cs="Calibri"/>
          <w:b/>
          <w:lang w:eastAsia="en-IN"/>
        </w:rPr>
      </w:pPr>
      <w:r/>
      <w:r>
        <w:rPr>
          <w:rFonts w:ascii="Calibri" w:hAnsi="Calibri" w:eastAsia="Calibri"/>
          <w:b/>
          <w:color w:val="1F4E79"/>
          <w:sz w:val="32"/>
        </w:rPr>
        <w:t>1. In Scope</w:t>
      </w:r>
    </w:p>
    <w:p w:rsidR="00926D9F" w:rsidRPr="00F06DA7" w:rsidRDefault="00926D9F" w:rsidP="00926D9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42424"/>
          <w:lang w:eastAsia="en-IN"/>
        </w:rPr>
      </w:pPr>
    </w:p>
    <w:tbl>
      <w:tblPr>
        <w:tblW w:w="992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jc w:val="center"/>
        <w:tblLayout w:type="fixed"/>
      </w:tblPr>
      <w:tblGrid>
        <w:gridCol w:w="2484"/>
        <w:gridCol w:w="2484"/>
        <w:gridCol w:w="4955"/>
      </w:tblGrid>
      <w:tr w:rsidR="00926D9F" w:rsidRPr="00F06DA7" w:rsidTr="00926D9F">
        <w:trPr>
          <w:trHeight w:val="300"/>
          <w:tblHeader/>
          <w:jc w:val="center"/>
        </w:trPr>
        <w:tc>
          <w:tcPr>
            <w:tcW w:w="1134" w:type="dxa"/>
            <w:tcBorders>
              <w:top w:val="single" w:sz="6" w:space="0" w:color="163A5F"/>
              <w:left w:val="single" w:sz="6" w:space="0" w:color="163A5F"/>
              <w:bottom w:val="single" w:sz="6" w:space="0" w:color="163A5F"/>
              <w:right w:val="single" w:sz="6" w:space="0" w:color="163A5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  <w:hideMark/>
            <w:shd w:val="clear" w:color="auto" w:fill="1F4E79"/>
          </w:tcPr>
          <w:p w:rsidR="00926D9F" w:rsidRPr="00F06DA7" w:rsidRDefault="00926D9F" w:rsidP="00926D9F">
            <w:pPr>
              <w:spacing w:after="40" w:line="240" w:lineRule="auto" w:before="40"/>
              <w:jc w:val="center"/>
              <w:rPr>
                <w:rFonts w:ascii="Calibri" w:eastAsia="Times New Roman" w:hAnsi="Calibri" w:cs="Calibri"/>
                <w:lang w:eastAsia="en-IN"/>
              </w:rPr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ID</w:t>
            </w:r>
          </w:p>
        </w:tc>
        <w:tc>
          <w:tcPr>
            <w:tcW w:w="2041" w:type="dxa"/>
            <w:tcBorders>
              <w:top w:val="single" w:sz="6" w:space="0" w:color="163A5F"/>
              <w:left w:val="single" w:sz="6" w:space="0" w:color="163A5F"/>
              <w:bottom w:val="single" w:sz="6" w:space="0" w:color="163A5F"/>
              <w:right w:val="single" w:sz="6" w:space="0" w:color="163A5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  <w:hideMark/>
            <w:shd w:val="clear" w:color="auto" w:fill="1F4E79"/>
          </w:tcPr>
          <w:p w:rsidR="00926D9F" w:rsidRPr="00F06DA7" w:rsidRDefault="00926D9F" w:rsidP="00926D9F">
            <w:pPr>
              <w:spacing w:after="40" w:line="240" w:lineRule="auto" w:before="40"/>
              <w:jc w:val="center"/>
              <w:rPr>
                <w:rFonts w:ascii="Calibri" w:eastAsia="Times New Roman" w:hAnsi="Calibri" w:cs="Calibri"/>
                <w:lang w:eastAsia="en-IN"/>
              </w:rPr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Scope item</w:t>
            </w:r>
          </w:p>
        </w:tc>
        <w:tc>
          <w:tcPr>
            <w:tcW w:w="6180" w:type="dxa"/>
            <w:tcBorders>
              <w:top w:val="single" w:sz="6" w:space="0" w:color="163A5F"/>
              <w:left w:val="single" w:sz="6" w:space="0" w:color="163A5F"/>
              <w:bottom w:val="single" w:sz="6" w:space="0" w:color="163A5F"/>
              <w:right w:val="single" w:sz="6" w:space="0" w:color="163A5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  <w:hideMark/>
            <w:shd w:val="clear" w:color="auto" w:fill="1F4E79"/>
          </w:tcPr>
          <w:p w:rsidR="00926D9F" w:rsidRPr="00F06DA7" w:rsidRDefault="00926D9F" w:rsidP="00926D9F">
            <w:pPr>
              <w:spacing w:after="40" w:line="240" w:lineRule="auto" w:before="40"/>
              <w:jc w:val="center"/>
              <w:rPr>
                <w:rFonts w:ascii="Calibri" w:eastAsia="Times New Roman" w:hAnsi="Calibri" w:cs="Calibri"/>
                <w:lang w:eastAsia="en-IN"/>
              </w:rPr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Description / boundary</w:t>
            </w:r>
          </w:p>
        </w:tc>
      </w:tr>
      <w:tr w:rsidR="00926D9F" w:rsidRPr="00F06DA7" w:rsidTr="00926D9F">
        <w:trPr>
          <w:trHeight w:val="300"/>
          <w:jc w:val="center"/>
        </w:trPr>
        <w:tc>
          <w:tcPr>
            <w:tcW w:w="113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8"/>
              </w:rPr>
            </w:r>
            <w:r>
              <w:rPr>
                <w:rFonts w:ascii="Calibri" w:hAnsi="Calibri" w:eastAsia="Calibri"/>
                <w:b/>
                <w:color w:val="1F4E79"/>
                <w:sz w:val="18"/>
              </w:rPr>
              <w:t>IS-01</w:t>
            </w:r>
          </w:p>
        </w:tc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242424"/>
                <w:sz w:val="18"/>
              </w:rPr>
              <w:t>User Management</w:t>
            </w:r>
          </w:p>
        </w:tc>
        <w:tc>
          <w:tcPr>
            <w:tcW w:w="6180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8C147C" w:rsidRPr="00F06DA7" w:rsidRDefault="004471BF">
            <w:pPr>
              <w:spacing w:before="0" w:after="40" w:line="240" w:lineRule="auto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242424"/>
                <w:sz w:val="18"/>
              </w:rPr>
              <w:t>Citizen (Public):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Instant self-registration, with no approval. The citizen chooses a preferred Username, unique across the User Master.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Email OTP and mobile OTP are both verified before the account is created. Aadhaar e-KYC must succeed before creation.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Login: Username + Captcha + OTP sent only to the registered mobile.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Lost-mobile reset before login: Aadhaar e-KYC, plus a single-use PIN to the registered email, then OTP on the new mobile.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242424"/>
                <w:sz w:val="18"/>
              </w:rPr>
              <w:t>DSR Officers: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Created only by an authorised administrator. Username is the KGID.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Login: KGID + Captcha + Face authentication or Biometrics (no OTP). If more than one sanctioned post is active, the officer selects the post for that session.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Additional charge of a wholly unoccupied subordinate post in the same session, without logout.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After login, the officer may change the registered mobile (OTP on the new number). There is no pre-login self-service reset.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Lifecycle: sanctioned-post assignment; Transfer Out / Relieving and Transfer In (only when the target post has vacant capacity, and only within office span and the immediate-parent post); midnight occupancy-refresh job; Temporary Absence (Leave / OOD / Other) and Temporary Charge.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Absence does not free the post, and login is blocked while an absence is in effect.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242424"/>
                <w:sz w:val="18"/>
              </w:rPr>
              <w:t>Other Department users: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Created only by an authorised administrator. Username is Department Code plus Employee ID or KGID. Exactly one role; an optional end date deactivates the user.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Login: Username + Captcha + OTP to the registered mobile (no biometrics).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A lost mobile number is changed by an administrator, with a reason and an audit entry. There is no pre-login self-service reset.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Administrators may create, edit, search, suspend and deactivate users. Deactivation requires a reason and is audited. SMS / email on create, suspend and deactivate.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Reporting: user status; login audit; role and permission assignments; sanctioned-post occupancy; role-to-module mapping; contact-change and recovery; additional charge; temporary absence and temporary charge; occupancy refresh; transfer history; officer posting and service history.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</w:p>
        </w:tc>
      </w:tr>
      <w:tr w:rsidR="00926D9F" w:rsidRPr="00F06DA7" w:rsidTr="00926D9F">
        <w:trPr>
          <w:trHeight w:val="300"/>
          <w:jc w:val="center"/>
        </w:trPr>
        <w:tc>
          <w:tcPr>
            <w:tcW w:w="113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8"/>
              </w:rPr>
            </w:r>
            <w:r>
              <w:rPr>
                <w:rFonts w:ascii="Calibri" w:hAnsi="Calibri" w:eastAsia="Calibri"/>
                <w:b/>
                <w:color w:val="1F4E79"/>
                <w:sz w:val="18"/>
              </w:rPr>
              <w:t>IS-02</w:t>
            </w:r>
          </w:p>
        </w:tc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242424"/>
                <w:sz w:val="18"/>
              </w:rPr>
              <w:t>Marriage Registration</w:t>
            </w:r>
          </w:p>
        </w:tc>
        <w:tc>
          <w:tcPr>
            <w:tcW w:w="6180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8C147C" w:rsidRPr="00F06DA7" w:rsidRDefault="004471BF">
            <w:pPr>
              <w:spacing w:before="0" w:after="40" w:line="240" w:lineRule="auto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1F4E79"/>
                <w:sz w:val="18"/>
              </w:rPr>
              <w:t>Hindu Marriage</w:t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 xml:space="preserve"> — Online and Offline: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Form I (memorandum), Form IA (application) and Form II-A (certificate). Form II is not used.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Online: e-KYC / Face Authentication, office selection, eSign, one SR verification, payment after SR approval, SR digital signature and certificate. No printout, appointment or DEO.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Offline: if Aadhaar is available, e-KYC / Face Authentication; otherwise manual entry. SR verification before payment; payment and appointment; print Form I, Form IA and Form II-A; DEO scan and upload; second SR verification; SR digital signature and certificate.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1F4E79"/>
                <w:sz w:val="18"/>
              </w:rPr>
              <w:t>Special Marriage</w:t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 xml:space="preserve"> — Intended Marriage and Other Forms share one notice workflow, then in-person registration: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Path: if the marriage has not already taken place, Intended Marriage notice; if it has, Other Forms notice, capturing date, place and rites.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1F4E79"/>
                <w:sz w:val="18"/>
              </w:rPr>
              <w:t>Notice</w:t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 xml:space="preserve"> — Online and Offline. Parties are captured with e-KYC / Face Authentication (offline may be manual when Aadhaar is not available). Residence of at least 30 days before the notice application (Sec. 15 / 16). SR verification, first payment, statutory notice, publication on the portal or the notice board, and a 30-day countdown.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Registration is in person at the Sub-Registrar office only. Intended Marriage: at least 30 days and not more than 90 days from publication. Other Forms: at least 30 days. Objection and enquiry, second payment, solemnization (Fourth Schedule) or Chapter III registration (Fifth Schedule), witness capture, SR digital signature and certificate.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1F4E79"/>
                <w:sz w:val="18"/>
              </w:rPr>
              <w:t>Parsi Marriage</w:t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 xml:space="preserve"> — Online and Offline: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Registers a marriage already solemnized by a Parsi priest (Ashirvad). The priest-certified Schedule II certificate is uploaded and verified by the SR. Online and offline follow the same channel pattern as Hindu Marriage.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242424"/>
                <w:sz w:val="18"/>
              </w:rPr>
              <w:t>Null and Void endorsement: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SRO back-office only, on a certified court order declaring a registered marriage void or voidable (Hindu Marriage Act Sec. 11–12). Not a citizen self-service flow.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242424"/>
                <w:sz w:val="18"/>
              </w:rPr>
              <w:t>Shared capabilities: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Citizen portal and SRO desk: apply, pay, scrutiny, approve or reject with reason, register, and issue the certificate. Applications start from an authenticated citizen session (IS-01).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Bilingual UI (English and Kannada), usable on mobile; save and resume; address per the e-Governance standard; the citizen chooses the certificate language and previews it before confirm.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Fee with receipt; SMS and email through the application lifecycle; MIS and audit; role-based access.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Sakala GSC number and service-lifecycle sync. Offline scans and the court-order upload use the shared Scanning Module.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Integrations: payment / treasury, Aadhaar e-KYC and Face Authentication, eSign, DSC, DigiLocker, SMS, email, appointment slots, Kutumba, Civil Registration System, Labour Department, Sakala, e-Janma and Marks Card for age proof.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</w:p>
        </w:tc>
      </w:tr>
      <w:tr w:rsidR="00926D9F" w:rsidRPr="00F06DA7" w:rsidTr="00926D9F">
        <w:trPr>
          <w:trHeight w:val="300"/>
          <w:jc w:val="center"/>
        </w:trPr>
        <w:tc>
          <w:tcPr>
            <w:tcW w:w="113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8"/>
              </w:rPr>
            </w:r>
            <w:r>
              <w:rPr>
                <w:rFonts w:ascii="Calibri" w:hAnsi="Calibri" w:eastAsia="Calibri"/>
                <w:b/>
                <w:color w:val="1F4E79"/>
                <w:sz w:val="18"/>
              </w:rPr>
              <w:t>IS-03</w:t>
            </w:r>
          </w:p>
        </w:tc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242424"/>
                <w:sz w:val="18"/>
              </w:rPr>
              <w:t>Document Registration</w:t>
            </w:r>
          </w:p>
        </w:tc>
        <w:tc>
          <w:tcPr>
            <w:tcW w:w="6180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1F4E79"/>
                <w:sz w:val="18"/>
              </w:rPr>
              <w:t>2 types of flows</w:t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 xml:space="preserve"> – Paper and Paperless.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1F4E79"/>
                <w:sz w:val="18"/>
              </w:rPr>
              <w:t>Paper</w:t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 xml:space="preserve"> – ink-signed deed, physical presentation, scan &amp; store.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1F4E79"/>
                <w:sz w:val="18"/>
              </w:rPr>
              <w:t>Paperless</w:t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 xml:space="preserve"> – digital execution (e-Sign / DSC), biometric e-KYC, digital endorsements.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242424"/>
                <w:sz w:val="18"/>
              </w:rPr>
              <w:t>Citizen pre-registration flow: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Type of Document (Sale, Mortgage, Lease,Partition, Gift, GPA, Will, etc.); Property Search (Bhoomi, e-Swathu, e-Aasthi, ULMS, etc); Property Schedule;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Market Valuation &amp; Fee Calculation ; Party Information; Document Summary; SRO Confirmation;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Payment; Appointment; Anywhere registration within sub-district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Department flow: allocation to DEO; biometrics; Aadhaar Authentication.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Register / Keep Pending / Withdraw / Refuse / Send back; Index I–II; J-slip to Bhoomi; scan &amp; digital sign.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Other Requirements : Re-registration on DR/Court order; K1/2 pending release; Will after death (Book 3); Book-I filings; exceptional cases (delay condonation, private attendance, undervaluation/impound, PoA, etc.);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Court Stay Order search &amp; display, Liability, Cross Reference, Sec. 68(2) Correction, Filing Document supporting modules.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</w:p>
        </w:tc>
      </w:tr>
      <w:tr w:rsidR="00926D9F" w:rsidRPr="00F06DA7" w:rsidTr="00926D9F">
        <w:trPr>
          <w:trHeight w:val="300"/>
          <w:jc w:val="center"/>
        </w:trPr>
        <w:tc>
          <w:tcPr>
            <w:tcW w:w="113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8"/>
              </w:rPr>
            </w:r>
            <w:r>
              <w:rPr>
                <w:rFonts w:ascii="Calibri" w:hAnsi="Calibri" w:eastAsia="Calibri"/>
                <w:b/>
                <w:color w:val="1F4E79"/>
                <w:sz w:val="18"/>
              </w:rPr>
              <w:t>IS-04</w:t>
            </w:r>
          </w:p>
        </w:tc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242424"/>
                <w:sz w:val="18"/>
              </w:rPr>
              <w:t>Market Valuation</w:t>
            </w:r>
          </w:p>
        </w:tc>
        <w:tc>
          <w:tcPr>
            <w:tcW w:w="6180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Guideline / market value determination for stamp duty and registration fee.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1F4E79"/>
                <w:sz w:val="18"/>
              </w:rPr>
              <w:t>Agricultural properties</w:t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 xml:space="preserve"> – GIS-based automated valuation via Bhoomi / KSRSAC attribute fetch; 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1F4E79"/>
                <w:sz w:val="18"/>
              </w:rPr>
              <w:t>Non-agricultural</w:t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 xml:space="preserve"> – extract from the masters 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Citizen / SR ability to estimate Guidance Value, Stamp Duty and Registration Fee; Form-1 / schedule based valuation at SRO.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Article-based fee calculation integrated with Document Registration and Digital e-Stamp.</w:t>
            </w:r>
          </w:p>
        </w:tc>
      </w:tr>
      <w:tr w:rsidR="00926D9F" w:rsidRPr="00F06DA7" w:rsidTr="00926D9F">
        <w:trPr>
          <w:trHeight w:val="300"/>
          <w:jc w:val="center"/>
        </w:trPr>
        <w:tc>
          <w:tcPr>
            <w:tcW w:w="113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8"/>
              </w:rPr>
            </w:r>
            <w:r>
              <w:rPr>
                <w:rFonts w:ascii="Calibri" w:hAnsi="Calibri" w:eastAsia="Calibri"/>
                <w:b/>
                <w:color w:val="1F4E79"/>
                <w:sz w:val="18"/>
              </w:rPr>
              <w:t>IS-05</w:t>
            </w:r>
          </w:p>
        </w:tc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242424"/>
                <w:sz w:val="18"/>
              </w:rPr>
              <w:t>Encumbrance Certificate</w:t>
            </w:r>
          </w:p>
        </w:tc>
        <w:tc>
          <w:tcPr>
            <w:tcW w:w="6180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EC shows registered transactions over a property (Form 22 application; Form 15 / nil Form 16).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1F4E79"/>
                <w:sz w:val="18"/>
              </w:rPr>
              <w:t>Search</w:t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 xml:space="preserve"> – property parameters (district / taluk / hobli / village / survey / property no. / extent / boundaries); 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Kaveri-1/2 EC retrieval via Kaveri-1/2 integration.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Online application → payment → digitally signed EC (SDA / FDA / SR digital sign chain (digital signatures at multiple stages)).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Offline / department path at SRO; Index-II based generation.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Transaction EC printed as part of Document Registration completion (Form 15).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</w:p>
        </w:tc>
      </w:tr>
      <w:tr w:rsidR="00926D9F" w:rsidRPr="00F06DA7" w:rsidTr="00926D9F">
        <w:trPr>
          <w:trHeight w:val="300"/>
          <w:jc w:val="center"/>
        </w:trPr>
        <w:tc>
          <w:tcPr>
            <w:tcW w:w="113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8"/>
              </w:rPr>
            </w:r>
            <w:r>
              <w:rPr>
                <w:rFonts w:ascii="Calibri" w:hAnsi="Calibri" w:eastAsia="Calibri"/>
                <w:b/>
                <w:color w:val="1F4E79"/>
                <w:sz w:val="18"/>
              </w:rPr>
              <w:t>IS-06</w:t>
            </w:r>
          </w:p>
        </w:tc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242424"/>
                <w:sz w:val="18"/>
              </w:rPr>
              <w:t>Certified Copy</w:t>
            </w:r>
          </w:p>
        </w:tc>
        <w:tc>
          <w:tcPr>
            <w:tcW w:w="6180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Digitally signed copy of registered scanned document (Book-1 and related book types; Marriage / Marriage Notice as applicable, Firms).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1F4E79"/>
                <w:sz w:val="18"/>
              </w:rPr>
              <w:t>Search by Document details</w:t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 xml:space="preserve"> – Document Type, District, SRO, Book Type (Book-1 parts, Rule 17(2)/(3), etc.), Document Number, Year.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Online application → stamp duty payment (Sec. 10A / Appendix BA) → SDA / FDA / SR digital sign → citizen download.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Suo Moto CC (Book-3 / Book-4): citizen presents original at SRO; department CC search without citizen self-service for classified books;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SDA prepare &amp; sign → FDA verify → SR approve &amp; sign → print &amp; deliver; payment mode same as Suo Moto EC.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Boundary: EC is IS-05. Firm Form-C / register extracts also available under Firm module (IS-07).</w:t>
            </w:r>
          </w:p>
        </w:tc>
      </w:tr>
      <w:tr w:rsidR="00926D9F" w:rsidRPr="00F06DA7" w:rsidTr="00926D9F">
        <w:trPr>
          <w:trHeight w:val="300"/>
          <w:jc w:val="center"/>
        </w:trPr>
        <w:tc>
          <w:tcPr>
            <w:tcW w:w="113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8"/>
              </w:rPr>
            </w:r>
            <w:r>
              <w:rPr>
                <w:rFonts w:ascii="Calibri" w:hAnsi="Calibri" w:eastAsia="Calibri"/>
                <w:b/>
                <w:color w:val="1F4E79"/>
                <w:sz w:val="18"/>
              </w:rPr>
              <w:t>IS-07</w:t>
            </w:r>
          </w:p>
        </w:tc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242424"/>
                <w:sz w:val="18"/>
              </w:rPr>
              <w:t>Firm Registration</w:t>
            </w:r>
          </w:p>
        </w:tc>
        <w:tc>
          <w:tcPr>
            <w:tcW w:w="6180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242424"/>
                <w:sz w:val="18"/>
              </w:rPr>
              <w:t>Services: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New Firm Registration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1F4E79"/>
                <w:sz w:val="18"/>
              </w:rPr>
              <w:t>Amendment</w:t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 xml:space="preserve"> – firm name / principal place; other places of business; partner name / address; notice of election on attaining majority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1F4E79"/>
                <w:sz w:val="18"/>
              </w:rPr>
              <w:t>Reconstitution</w:t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 xml:space="preserve"> – incoming / outgoing partner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Dissolution of Firm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Protest/Dispute Entry; Index Search; Certified Copy of Register of Firms entries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Online and Offline at DRO; approval by District Registrar.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Two-step: partnership / reconstitution / dissolution deed at SRO then firm filing at DRO (Indian Partnership Act, 1932).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Name uniqueness / objectionable names (Emblems and Names Act); fee, Form C, Register of Firms &amp; Index; DigiLocker e-Sign; SAKALA; Aadhaar dependency; K1/2→K3 firm migration.</w:t>
            </w:r>
          </w:p>
        </w:tc>
      </w:tr>
      <w:tr w:rsidR="00926D9F" w:rsidRPr="00F06DA7" w:rsidTr="00926D9F">
        <w:trPr>
          <w:trHeight w:val="300"/>
          <w:jc w:val="center"/>
        </w:trPr>
        <w:tc>
          <w:tcPr>
            <w:tcW w:w="113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8"/>
              </w:rPr>
            </w:r>
            <w:r>
              <w:rPr>
                <w:rFonts w:ascii="Calibri" w:hAnsi="Calibri" w:eastAsia="Calibri"/>
                <w:b/>
                <w:color w:val="1F4E79"/>
                <w:sz w:val="18"/>
              </w:rPr>
              <w:t>IS-08</w:t>
            </w:r>
          </w:p>
        </w:tc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242424"/>
                <w:sz w:val="18"/>
              </w:rPr>
              <w:t>Digital E-Stamp</w:t>
            </w:r>
          </w:p>
        </w:tc>
        <w:tc>
          <w:tcPr>
            <w:tcW w:w="6180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Digital e-Stamp for optionally registrable articles (stamp duty payable; registration under Registration Act not compulsory).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Citizen applies on Kaveri 3.0; stamp duty calculated from article / property / location; pay via UPI / net banking / cards;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Instant unique e-Stamp certificate; download digitally signed e-Stamp from dashboard.</w:t>
            </w:r>
          </w:p>
        </w:tc>
      </w:tr>
      <w:tr w:rsidR="00926D9F" w:rsidRPr="00F06DA7" w:rsidTr="00926D9F">
        <w:trPr>
          <w:trHeight w:val="300"/>
          <w:jc w:val="center"/>
        </w:trPr>
        <w:tc>
          <w:tcPr>
            <w:tcW w:w="113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8"/>
              </w:rPr>
            </w:r>
            <w:r>
              <w:rPr>
                <w:rFonts w:ascii="Calibri" w:hAnsi="Calibri" w:eastAsia="Calibri"/>
                <w:b/>
                <w:color w:val="1F4E79"/>
                <w:sz w:val="18"/>
              </w:rPr>
              <w:t>IS-10</w:t>
            </w:r>
          </w:p>
        </w:tc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242424"/>
                <w:sz w:val="18"/>
              </w:rPr>
              <w:t>Audit</w:t>
            </w:r>
          </w:p>
        </w:tc>
        <w:tc>
          <w:tcPr>
            <w:tcW w:w="6180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1F4E79"/>
                <w:sz w:val="18"/>
              </w:rPr>
              <w:t>Internal Audit</w:t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 xml:space="preserve"> – DR / IGR / Regional Committee / HQA / Deputy Commissioner inspections.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1F4E79"/>
                <w:sz w:val="18"/>
              </w:rPr>
              <w:t>External Audit</w:t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 xml:space="preserve"> – Auditor General / AG office annual inspection; Local Audit Report; Audit Para query &amp; response.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AG / auditor login creation by office head (SR / DR / ); AG email + ID card; period-based fetch of registered documents;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Request to view document details → office head approval → digitally accessible audit trail instead of manual consolidation.</w:t>
            </w:r>
          </w:p>
        </w:tc>
      </w:tr>
      <w:tr w:rsidR="00926D9F" w:rsidRPr="00F06DA7" w:rsidTr="00926D9F">
        <w:trPr>
          <w:trHeight w:val="300"/>
          <w:jc w:val="center"/>
        </w:trPr>
        <w:tc>
          <w:tcPr>
            <w:tcW w:w="113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8"/>
              </w:rPr>
            </w:r>
            <w:r>
              <w:rPr>
                <w:rFonts w:ascii="Calibri" w:hAnsi="Calibri" w:eastAsia="Calibri"/>
                <w:b/>
                <w:color w:val="1F4E79"/>
                <w:sz w:val="18"/>
              </w:rPr>
              <w:t>IS-11</w:t>
            </w:r>
          </w:p>
        </w:tc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242424"/>
                <w:sz w:val="18"/>
              </w:rPr>
              <w:t>External Integrations</w:t>
            </w:r>
          </w:p>
        </w:tc>
        <w:tc>
          <w:tcPr>
            <w:tcW w:w="6180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242424"/>
                <w:sz w:val="18"/>
              </w:rPr>
              <w:t>Kaveri 3.0 shall connect to send/receive data with the following external systems (as deployed / available):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1F4E79"/>
                <w:sz w:val="18"/>
              </w:rPr>
              <w:t>EKYC</w:t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 xml:space="preserve"> – Aadhar Verification — Real-time Aadhaar e-KYC / Face Authentication for citizen and party identity verification during registration, marriage and related flows.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1F4E79"/>
                <w:sz w:val="18"/>
              </w:rPr>
              <w:t>Khazane</w:t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 xml:space="preserve"> – Payment systems — Government payment gateway for collection and reconciliation of stamp duty, registration fees and other statutory payments.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1F4E79"/>
                <w:sz w:val="18"/>
              </w:rPr>
              <w:t>DigiLocker</w:t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 xml:space="preserve"> — Fetch / push of citizen documents and issued certificates (where enabled) via DigiLocker APIs.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1F4E79"/>
                <w:sz w:val="18"/>
              </w:rPr>
              <w:t>SMS</w:t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 xml:space="preserve"> — Transactional SMS for OTP, application status, appointment and certificate / receipt notifications.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1F4E79"/>
                <w:sz w:val="18"/>
              </w:rPr>
              <w:t>EMail</w:t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 xml:space="preserve"> — Transactional email for OTP (where used), receipts, certificates and status notifications.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1F4E79"/>
                <w:sz w:val="18"/>
              </w:rPr>
              <w:t>Kutumba</w:t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 xml:space="preserve"> — marriage registration data.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Civil Registration System —civil-registration data exchange for marriage and linked workflows.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1F4E79"/>
                <w:sz w:val="18"/>
              </w:rPr>
              <w:t>Labour Department</w:t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 xml:space="preserve"> — marriage registration data to avail benefits.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1F4E79"/>
                <w:sz w:val="18"/>
              </w:rPr>
              <w:t>Sakala</w:t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 xml:space="preserve"> — Karnataka Guarantee of Services to Citizen: GSC issuance, service timelines and statutory status sync.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1F4E79"/>
                <w:sz w:val="18"/>
              </w:rPr>
              <w:t>e-Sign</w:t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 xml:space="preserve"> — Aadhaar-based electronic signature for citizens on applications, deeds, certificates, EC/CC and related artefacts.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1F4E79"/>
                <w:sz w:val="18"/>
              </w:rPr>
              <w:t>Eswathu</w:t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 xml:space="preserve"> — Rural non-agricultural property records: property pull and mutation / eKhata push after registration.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1F4E79"/>
                <w:sz w:val="18"/>
              </w:rPr>
              <w:t>Eaasthi</w:t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 xml:space="preserve"> — Urban property records: property pull and mutation / eKhata push after registration.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1F4E79"/>
                <w:sz w:val="18"/>
              </w:rPr>
              <w:t>Passport</w:t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 xml:space="preserve"> — Passport number / details validation for party identity where Passport is selected as proof of identity.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1F4E79"/>
                <w:sz w:val="18"/>
              </w:rPr>
              <w:t>PAN</w:t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 xml:space="preserve"> — Real-time PAN authentication for parties (including mandatory checks when market / consideration value thresholds apply; Form 60/61 where PAN is unavailable).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1F4E79"/>
                <w:sz w:val="18"/>
              </w:rPr>
              <w:t>Bhoomi</w:t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 xml:space="preserve"> — Agricultural land records: property schedule pull and mutation intimation / push after registration.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1F4E79"/>
                <w:sz w:val="18"/>
              </w:rPr>
              <w:t>KSRSAC</w:t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 xml:space="preserve"> — Karnataka State Remote Sensing Applications Centre: GIS / map layers for valuation and spatial property support.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1F4E79"/>
                <w:sz w:val="18"/>
              </w:rPr>
              <w:t>FRUITS</w:t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 xml:space="preserve"> — Agricultural mortgage / release filing integration and related EC / notification exchange with FRUITS.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1F4E79"/>
                <w:sz w:val="18"/>
              </w:rPr>
              <w:t>Mogini</w:t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 xml:space="preserve"> — Survey / agri property data exchange alongside Bhoomi for property identification and mutation support.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1F4E79"/>
                <w:sz w:val="18"/>
              </w:rPr>
              <w:t>Income Tax</w:t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 xml:space="preserve"> — Inter-department access and data exchange for Income Tax Department use cases on Kaveri (Other Department users / approved APIs).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P.S.: External systems are owned by respective agencies; Kaveri integrates via SOAP/REST APIs / scheduled jobs.</w:t>
            </w:r>
          </w:p>
        </w:tc>
      </w:tr>
      <w:tr w:rsidR="00926D9F" w:rsidRPr="00F06DA7" w:rsidTr="00926D9F">
        <w:trPr>
          <w:trHeight w:val="300"/>
          <w:jc w:val="center"/>
        </w:trPr>
        <w:tc>
          <w:tcPr>
            <w:tcW w:w="113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8"/>
              </w:rPr>
            </w:r>
            <w:r>
              <w:rPr>
                <w:rFonts w:ascii="Calibri" w:hAnsi="Calibri" w:eastAsia="Calibri"/>
                <w:b/>
                <w:color w:val="1F4E79"/>
                <w:sz w:val="18"/>
              </w:rPr>
              <w:t>IS-12</w:t>
            </w:r>
          </w:p>
        </w:tc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242424"/>
                <w:sz w:val="18"/>
              </w:rPr>
              <w:t>Reporting / Dashboard</w:t>
            </w:r>
          </w:p>
        </w:tc>
        <w:tc>
          <w:tcPr>
            <w:tcW w:w="6180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1F4E79"/>
                <w:sz w:val="18"/>
              </w:rPr>
              <w:t>Citizen</w:t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 xml:space="preserve"> – application status tracking, download certificates / e-Stamp / EC / CC.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1F4E79"/>
                <w:sz w:val="18"/>
              </w:rPr>
              <w:t>Department dashboards</w:t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 xml:space="preserve"> – SR / DR / IGR worklists (scrutiny, registration, EC/CC approval, firm, audit requests).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1F4E79"/>
                <w:sz w:val="18"/>
              </w:rPr>
              <w:t>MIS</w:t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 xml:space="preserve"> – registrations by article / book / office; revenue by mode/channel; pending / refused / withdrawn / undervaluation;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Marriage / Firm statistics; SLA / Sakala oriented views; bilingual labels where required.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Scheduled / batch jobs for reconciliation and reporting (Architecture).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The Kaveri 3.0 solution shall provide a centralized Business Intelligence, MIS and analytical reporting capability using Microsoft Power BI for public transparency, departmental performance analysis, statutory reporting, executive decision support and administrative monitoring.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</w:p>
        </w:tc>
      </w:tr>
      <w:tr w:rsidR="00926D9F" w:rsidRPr="00F06DA7" w:rsidTr="00926D9F">
        <w:trPr>
          <w:trHeight w:val="300"/>
          <w:jc w:val="center"/>
        </w:trPr>
        <w:tc>
          <w:tcPr>
            <w:tcW w:w="113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8"/>
              </w:rPr>
            </w:r>
            <w:r>
              <w:rPr>
                <w:rFonts w:ascii="Calibri" w:hAnsi="Calibri" w:eastAsia="Calibri"/>
                <w:b/>
                <w:color w:val="1F4E79"/>
                <w:sz w:val="18"/>
              </w:rPr>
              <w:t>IS-13</w:t>
            </w:r>
          </w:p>
        </w:tc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242424"/>
                <w:sz w:val="18"/>
              </w:rPr>
              <w:t>Security</w:t>
            </w:r>
          </w:p>
        </w:tc>
        <w:tc>
          <w:tcPr>
            <w:tcW w:w="6180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HTTPS enforced for all citizen and department web / API traffic (TLS end-to-end to the edge).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SSL / TLS certificates managed for public and internal endpoints; reverse proxy performs SSL offloading where deployed.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1F4E79"/>
                <w:sz w:val="18"/>
              </w:rPr>
              <w:t>Reverse proxy</w:t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 xml:space="preserve"> – SSL offloading, rate limiting, bot blocking, load balancing.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1F4E79"/>
                <w:sz w:val="18"/>
              </w:rPr>
              <w:t>API Gateway</w:t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 xml:space="preserve"> – authN/Z on every request, IP/route rate limits, Redis session,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1F4E79"/>
                <w:sz w:val="18"/>
              </w:rPr>
              <w:t>Quality &amp; Security Gates</w:t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 xml:space="preserve"> – Unit Testing, SonarQube Quality Gates, SAST, Dependency Scanning, Container Image Scanning (Trivy), DAST/Security Validation for higher environments.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RBAC via User Management; department interface only on KSWAN.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Digital signatures (e-Sign/DSC) on registered documents, EC, CC, e-Stamp, firm certificates.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Reduced attack surface by not exposing internal microservices directly (API Gateway pattern).</w:t>
            </w:r>
          </w:p>
        </w:tc>
      </w:tr>
      <w:tr w:rsidR="00926D9F" w:rsidRPr="00F06DA7" w:rsidTr="00926D9F">
        <w:trPr>
          <w:trHeight w:val="300"/>
          <w:jc w:val="center"/>
        </w:trPr>
        <w:tc>
          <w:tcPr>
            <w:tcW w:w="113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8"/>
              </w:rPr>
            </w:r>
            <w:r>
              <w:rPr>
                <w:rFonts w:ascii="Calibri" w:hAnsi="Calibri" w:eastAsia="Calibri"/>
                <w:b/>
                <w:color w:val="1F4E79"/>
                <w:sz w:val="18"/>
              </w:rPr>
              <w:t>IS-14</w:t>
            </w:r>
          </w:p>
        </w:tc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242424"/>
                <w:sz w:val="18"/>
              </w:rPr>
              <w:t>Environment &amp; Deployment</w:t>
            </w:r>
          </w:p>
        </w:tc>
        <w:tc>
          <w:tcPr>
            <w:tcW w:w="6180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2712B0" w:rsidRPr="00F06DA7" w:rsidRDefault="002712B0" w:rsidP="002712B0">
            <w:pPr>
              <w:pStyle w:val="NormalWeb"/>
              <w:spacing w:before="0" w:after="40" w:line="240" w:lineRule="auto"/>
              <w:jc w:val="lef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Stack: Angular SPA (Citizen Portal &amp; Department Portal); .NET Core/.NET 8 APIs; Python Services (where applicable); PostgreSQL; Redis Cache; Keycloak (SSO &amp; Identity Management).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DevOps &amp; Platform: GitLab Enterprise, GitLab Runner, GitLab Container Registry, Docker, Docker Compose, SonarQube, Gitlab contianer scanning/Trivy (Container Security Scanning), OWASP ZAP/DAST (future phase).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Environments: Development (On-Prem) → DEV (On-Prem) → QA (On-Prem) → UAT/Pre-Prod (Onprime/SDC) → Production (SDC).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1F4E79"/>
                <w:sz w:val="18"/>
              </w:rPr>
              <w:t>Deployment units</w:t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 xml:space="preserve"> – Angular UI applications, API services, background services/jobs, Docker images, database migrations, Keycloak configurations, environment-specific configuration files and infrastructure deployment artifacts.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1F4E79"/>
                <w:sz w:val="18"/>
              </w:rPr>
              <w:t>Deployment approach</w:t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 xml:space="preserve"> – Automated CI/CD through GitLab Enterprise; Build → Test → SonarQube → Container Build → Container Registry → Environment Deployment. DEV deployments automated through GitLab pipelines and Docker Compose; QA/UAT deployments through controlled release pipelines; Production deployments through approved release process and deployment scripts.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1F4E79"/>
                <w:sz w:val="18"/>
              </w:rPr>
              <w:t>Post-deploy checks</w:t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 xml:space="preserve"> – Application health endpoints, service availability, database connectivity, migration validation, Redis connectivity, Keycloak authentication validation, downstream service dependencies, container health status and infrastructure monitoring checks.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1F4E79"/>
                <w:sz w:val="18"/>
              </w:rPr>
              <w:t>Rollback</w:t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 xml:space="preserve"> – Retain stable container images and deployment artifacts; version-controlled deployment configurations; mandatory database rollback scripts for schema changes; Keycloak configuration backups; rapid rollback to previously approved application release.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1F4E79"/>
                <w:sz w:val="18"/>
              </w:rPr>
              <w:t>Availability &amp; Downtime</w:t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 xml:space="preserve"> – Low downtime tolerance for citizen-facing and department-facing services; deployment process to support quick rollback and minimal service interruption; production releases to follow controlled deployment and recovery procedures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</w:p>
        </w:tc>
      </w:tr>
      <w:tr w:rsidR="00926D9F" w:rsidRPr="00F06DA7" w:rsidTr="00926D9F">
        <w:trPr>
          <w:trHeight w:val="300"/>
          <w:jc w:val="center"/>
        </w:trPr>
        <w:tc>
          <w:tcPr>
            <w:tcW w:w="113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8"/>
              </w:rPr>
            </w:r>
            <w:r>
              <w:rPr>
                <w:rFonts w:ascii="Calibri" w:hAnsi="Calibri" w:eastAsia="Calibri"/>
                <w:b/>
                <w:color w:val="1F4E79"/>
                <w:sz w:val="18"/>
              </w:rPr>
              <w:t>IS-15</w:t>
            </w:r>
          </w:p>
        </w:tc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242424"/>
                <w:sz w:val="18"/>
              </w:rPr>
              <w:t>Database and Migration</w:t>
            </w:r>
          </w:p>
        </w:tc>
        <w:tc>
          <w:tcPr>
            <w:tcW w:w="6180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PostgreSQL across services with logical domain grouping (document, marriage, Digital e-Stamp, firm, etc.); read replicas for offload the transactions.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Schemas / DBs for registration, migration, MIS, analytics, backup, marriage, firm, Digital e-stamp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1F4E79"/>
                <w:sz w:val="18"/>
              </w:rPr>
              <w:t>Kaveri-1 compatibility</w:t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 xml:space="preserve"> – pending documents, EC/CC, firms, marriages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</w:p>
        </w:tc>
      </w:tr>
      <w:tr w:rsidR="00926D9F" w:rsidRPr="00F06DA7" w:rsidTr="00926D9F">
        <w:trPr>
          <w:trHeight w:val="300"/>
          <w:jc w:val="center"/>
        </w:trPr>
        <w:tc>
          <w:tcPr>
            <w:tcW w:w="113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8"/>
              </w:rPr>
            </w:r>
            <w:r>
              <w:rPr>
                <w:rFonts w:ascii="Calibri" w:hAnsi="Calibri" w:eastAsia="Calibri"/>
                <w:b/>
                <w:color w:val="1F4E79"/>
                <w:sz w:val="18"/>
              </w:rPr>
              <w:t>IS-16</w:t>
            </w:r>
          </w:p>
        </w:tc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242424"/>
                <w:sz w:val="18"/>
              </w:rPr>
              <w:t>Observability, Monitoring &amp; Testing</w:t>
            </w:r>
          </w:p>
        </w:tc>
        <w:tc>
          <w:tcPr>
            <w:tcW w:w="6180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Observability present across services and environments; monitor latency-sensitive workflows and peak concurrency.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Transaction scale awareness (Doc Reg / EC / CC volumes per Architecture).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>UAT / Prod release notes process under QA Files/Release_Notes.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</w:p>
        </w:tc>
      </w:tr>
      <w:tr w:rsidR="00926D9F" w:rsidRPr="00F06DA7" w:rsidTr="00926D9F">
        <w:trPr>
          <w:trHeight w:val="300"/>
          <w:jc w:val="center"/>
        </w:trPr>
        <w:tc>
          <w:tcPr>
            <w:tcW w:w="113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center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8"/>
              </w:rPr>
            </w:r>
            <w:r>
              <w:rPr>
                <w:rFonts w:ascii="Calibri" w:hAnsi="Calibri" w:eastAsia="Calibri"/>
                <w:b/>
                <w:color w:val="1F4E79"/>
                <w:sz w:val="18"/>
              </w:rPr>
              <w:t>IS-17</w:t>
            </w:r>
          </w:p>
        </w:tc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242424"/>
                <w:sz w:val="18"/>
              </w:rPr>
              <w:t>AI</w:t>
            </w:r>
          </w:p>
        </w:tc>
        <w:tc>
          <w:tcPr>
            <w:tcW w:w="6180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hAnsi="Calibri" w:cs="Calibri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/>
                <w:color w:val="242424"/>
                <w:sz w:val="18"/>
              </w:rPr>
              <w:t xml:space="preserve">AI capabilities for Kaveri 3.0 are not defined in the 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8"/>
              </w:rPr>
              <w:t xml:space="preserve">Any AI features (assistive drafting, classification, anomaly detection, etc.) </w:t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</w:p>
          <w:p>
            <w:pPr>
              <w:spacing w:before="0" w:after="40" w:line="240" w:lineRule="auto"/>
              <w:jc w:val="left"/>
            </w:pPr>
            <w:r>
              <w:rPr>
                <w:rFonts w:ascii="Calibri" w:hAnsi="Calibri" w:eastAsia="Calibri"/>
                <w:color w:val="242424"/>
                <w:sz w:val="18"/>
              </w:rPr>
            </w:r>
          </w:p>
        </w:tc>
      </w:tr>
    </w:tbl>
    <w:p w:rsidR="00926D9F" w:rsidRPr="00F06DA7" w:rsidRDefault="00926D9F" w:rsidP="00926D9F">
      <w:pPr>
        <w:shd w:val="clear" w:color="auto" w:fill="FFFFFF"/>
        <w:spacing w:after="160" w:line="240" w:lineRule="auto" w:before="320"/>
        <w:rPr>
          <w:rFonts w:ascii="Calibri" w:eastAsia="Times New Roman" w:hAnsi="Calibri" w:cs="Calibri"/>
          <w:color w:val="242424"/>
          <w:lang w:eastAsia="en-IN"/>
        </w:rPr>
      </w:pPr>
      <w:r/>
      <w:r>
        <w:rPr>
          <w:rFonts w:ascii="Calibri" w:hAnsi="Calibri" w:eastAsia="Calibri"/>
          <w:b/>
          <w:color w:val="1F4E79"/>
          <w:sz w:val="32"/>
        </w:rPr>
        <w:t>2. Key Stakeholders</w:t>
      </w:r>
    </w:p>
    <w:p w:rsidR="00926D9F" w:rsidRPr="00F06DA7" w:rsidRDefault="00926D9F" w:rsidP="00926D9F">
      <w:pPr>
        <w:shd w:val="clear" w:color="auto" w:fill="FFFFFF"/>
        <w:spacing w:after="0" w:line="240" w:lineRule="auto" w:before="0"/>
        <w:jc w:val="center"/>
        <w:textAlignment w:val="baseline"/>
        <w:rPr>
          <w:rFonts w:ascii="Calibri" w:eastAsia="Times New Roman" w:hAnsi="Calibri" w:cs="Calibri"/>
          <w:color w:val="242424"/>
          <w:lang w:eastAsia="en-IN"/>
        </w:rPr>
      </w:pPr>
      <w:r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  <w:jc w:val="center"/>
        <w:tblLayout w:type="fixed"/>
      </w:tblPr>
      <w:tblGrid>
        <w:gridCol w:w="1653"/>
        <w:gridCol w:w="1597"/>
        <w:gridCol w:w="2132"/>
        <w:gridCol w:w="1670"/>
        <w:gridCol w:w="1954"/>
      </w:tblGrid>
      <w:tr w:rsidR="00926D9F" w:rsidRPr="00F06DA7" w:rsidTr="003A799F">
        <w:trPr>
          <w:tblHeader/>
          <w:jc w:val="center"/>
        </w:trPr>
        <w:tc>
          <w:tcPr>
            <w:tcW w:w="2041" w:type="dxa"/>
            <w:tcBorders>
              <w:top w:val="single" w:sz="6" w:space="0" w:color="163A5F"/>
              <w:left w:val="single" w:sz="6" w:space="0" w:color="163A5F"/>
              <w:bottom w:val="single" w:sz="6" w:space="0" w:color="163A5F"/>
              <w:right w:val="single" w:sz="6" w:space="0" w:color="163A5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  <w:hideMark/>
            <w:shd w:val="clear" w:color="auto" w:fill="1F4E79"/>
          </w:tcPr>
          <w:p w:rsidR="00926D9F" w:rsidRPr="00F06DA7" w:rsidRDefault="00926D9F" w:rsidP="00926D9F">
            <w:pPr>
              <w:spacing w:after="40" w:line="240" w:lineRule="auto" w:before="40"/>
              <w:jc w:val="center"/>
              <w:rPr>
                <w:rFonts w:ascii="Calibri" w:eastAsia="Times New Roman" w:hAnsi="Calibri" w:cs="Calibri"/>
                <w:lang w:eastAsia="en-IN"/>
              </w:rPr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Stakeholder / Group</w:t>
            </w:r>
          </w:p>
        </w:tc>
        <w:tc>
          <w:tcPr>
            <w:tcW w:w="1814" w:type="dxa"/>
            <w:tcBorders>
              <w:top w:val="single" w:sz="6" w:space="0" w:color="163A5F"/>
              <w:left w:val="single" w:sz="6" w:space="0" w:color="163A5F"/>
              <w:bottom w:val="single" w:sz="6" w:space="0" w:color="163A5F"/>
              <w:right w:val="single" w:sz="6" w:space="0" w:color="163A5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  <w:hideMark/>
            <w:shd w:val="clear" w:color="auto" w:fill="1F4E79"/>
          </w:tcPr>
          <w:p w:rsidR="00926D9F" w:rsidRPr="00F06DA7" w:rsidRDefault="00926D9F" w:rsidP="00926D9F">
            <w:pPr>
              <w:spacing w:after="40" w:line="240" w:lineRule="auto" w:before="40"/>
              <w:jc w:val="center"/>
              <w:rPr>
                <w:rFonts w:ascii="Calibri" w:eastAsia="Times New Roman" w:hAnsi="Calibri" w:cs="Calibri"/>
                <w:lang w:eastAsia="en-IN"/>
              </w:rPr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Role</w:t>
            </w:r>
          </w:p>
        </w:tc>
        <w:tc>
          <w:tcPr>
            <w:tcW w:w="1927" w:type="dxa"/>
            <w:tcBorders>
              <w:top w:val="single" w:sz="6" w:space="0" w:color="163A5F"/>
              <w:left w:val="single" w:sz="6" w:space="0" w:color="163A5F"/>
              <w:bottom w:val="single" w:sz="6" w:space="0" w:color="163A5F"/>
              <w:right w:val="single" w:sz="6" w:space="0" w:color="163A5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  <w:hideMark/>
            <w:shd w:val="clear" w:color="auto" w:fill="1F4E79"/>
          </w:tcPr>
          <w:p w:rsidR="00926D9F" w:rsidRPr="00F06DA7" w:rsidRDefault="00926D9F" w:rsidP="00926D9F">
            <w:pPr>
              <w:spacing w:after="40" w:line="240" w:lineRule="auto" w:before="40"/>
              <w:jc w:val="center"/>
              <w:rPr>
                <w:rFonts w:ascii="Calibri" w:eastAsia="Times New Roman" w:hAnsi="Calibri" w:cs="Calibri"/>
                <w:lang w:eastAsia="en-IN"/>
              </w:rPr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Interest / impact</w:t>
            </w:r>
          </w:p>
        </w:tc>
        <w:tc>
          <w:tcPr>
            <w:tcW w:w="1814" w:type="dxa"/>
            <w:tcBorders>
              <w:top w:val="single" w:sz="6" w:space="0" w:color="163A5F"/>
              <w:left w:val="single" w:sz="6" w:space="0" w:color="163A5F"/>
              <w:bottom w:val="single" w:sz="6" w:space="0" w:color="163A5F"/>
              <w:right w:val="single" w:sz="6" w:space="0" w:color="163A5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  <w:hideMark/>
            <w:shd w:val="clear" w:color="auto" w:fill="1F4E79"/>
          </w:tcPr>
          <w:p w:rsidR="00926D9F" w:rsidRPr="00F06DA7" w:rsidRDefault="00926D9F" w:rsidP="00926D9F">
            <w:pPr>
              <w:spacing w:after="40" w:line="240" w:lineRule="auto" w:before="40"/>
              <w:jc w:val="center"/>
              <w:rPr>
                <w:rFonts w:ascii="Calibri" w:eastAsia="Times New Roman" w:hAnsi="Calibri" w:cs="Calibri"/>
                <w:lang w:eastAsia="en-IN"/>
              </w:rPr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Engagement method</w:t>
            </w:r>
          </w:p>
        </w:tc>
        <w:tc>
          <w:tcPr>
            <w:tcW w:w="1757" w:type="dxa"/>
            <w:tcBorders>
              <w:top w:val="single" w:sz="6" w:space="0" w:color="163A5F"/>
              <w:left w:val="single" w:sz="6" w:space="0" w:color="163A5F"/>
              <w:bottom w:val="single" w:sz="6" w:space="0" w:color="163A5F"/>
              <w:right w:val="single" w:sz="6" w:space="0" w:color="163A5F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  <w:hideMark/>
            <w:shd w:val="clear" w:color="auto" w:fill="1F4E79"/>
          </w:tcPr>
          <w:p w:rsidR="00926D9F" w:rsidRPr="00F06DA7" w:rsidRDefault="00926D9F" w:rsidP="00926D9F">
            <w:pPr>
              <w:spacing w:after="40" w:line="240" w:lineRule="auto" w:before="40"/>
              <w:jc w:val="center"/>
              <w:rPr>
                <w:rFonts w:ascii="Calibri" w:eastAsia="Times New Roman" w:hAnsi="Calibri" w:cs="Calibri"/>
                <w:lang w:eastAsia="en-IN"/>
              </w:rPr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Decision authority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</w:r>
            <w:r>
              <w:rPr>
                <w:rFonts w:ascii="Calibri" w:hAnsi="Calibri" w:eastAsia="Calibri"/>
                <w:b/>
                <w:color w:val="1F4E79"/>
                <w:sz w:val="16"/>
              </w:rPr>
              <w:t>IGR &amp; Commissioner of Stamps / Steering Committee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head of Department of Stamps and Registration (DSR)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3F2829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statutory compliance, phase Go-Live readiness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checklist; escalations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3F2829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Scope change / phase Go-Live approval; residual risk acceptance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</w:r>
            <w:r>
              <w:rPr>
                <w:rFonts w:ascii="Calibri" w:hAnsi="Calibri" w:eastAsia="Calibri"/>
                <w:b/>
                <w:color w:val="1F4E79"/>
                <w:sz w:val="16"/>
              </w:rPr>
              <w:t>AIGR (Computers) &amp; Requirements Committee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Domain and requirements authority for Kaveri 3.0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3F2829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Correctness and completeness of Business Requirements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3F2829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Business Requirement workshops, daily requirement discussions with Kaveri IT Cell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BRD / domain sign-off; promote or defer scope items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</w:r>
            <w:r>
              <w:rPr>
                <w:rFonts w:ascii="Calibri" w:hAnsi="Calibri" w:eastAsia="Calibri"/>
                <w:b/>
                <w:color w:val="1F4E79"/>
                <w:sz w:val="16"/>
              </w:rPr>
              <w:t>KPMU / Application Admin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Programme Management Unit; system super-admin / IGR nominee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Delivery governance; designated creator roles; sanctioned posts and system-wide configuration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Steering nominee; admin / configuration workshops; UAT sign-off support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Designate creator roles; sanctioned-posts master; KPMU programme decisions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</w:r>
            <w:r>
              <w:rPr>
                <w:rFonts w:ascii="Calibri" w:hAnsi="Calibri" w:eastAsia="Calibri"/>
                <w:b/>
                <w:color w:val="1F4E79"/>
                <w:sz w:val="16"/>
              </w:rPr>
              <w:t>Product Owner (Kaveri IT Cell)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Product ownership for Kaveri 3.0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B90ECE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Roadmap, backlog, and stakeholder alignment within approved scope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B90ECE" w:rsidP="00B90ECE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review; backlog refinement;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B90ECE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Prioritisation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</w:r>
            <w:r>
              <w:rPr>
                <w:rFonts w:ascii="Calibri" w:hAnsi="Calibri" w:eastAsia="Calibri"/>
                <w:b/>
                <w:color w:val="1F4E79"/>
                <w:sz w:val="16"/>
              </w:rPr>
              <w:t>Project Manager (Kaveri IT Cell)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Programme / project delivery management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2420D1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Plan, milestones, risks, SLA Maintenance reporting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2420D1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Daily stand-ups; risk reviews; reporting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2420D1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Schedule and mitigation; release training, coordination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</w:r>
            <w:r>
              <w:rPr>
                <w:rFonts w:ascii="Calibri" w:hAnsi="Calibri" w:eastAsia="Calibri"/>
                <w:b/>
                <w:color w:val="1F4E79"/>
                <w:sz w:val="16"/>
              </w:rPr>
              <w:t>Domain Expert (Stamps &amp; Registration)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0FE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Department Subject Manager Expert for Acts, Rules, forms and fees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Legal fidelity of forms, fees, registers and process rules in software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Business Requirements workshops; design / UAT reviews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Domain acceptance of rules and forms implemented in Kaveri 3.0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</w:r>
            <w:r>
              <w:rPr>
                <w:rFonts w:ascii="Calibri" w:hAnsi="Calibri" w:eastAsia="Calibri"/>
                <w:b/>
                <w:color w:val="1F4E79"/>
                <w:sz w:val="16"/>
              </w:rPr>
              <w:t>Citizens / Applicants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Public end users of Kaveri portal services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Self-service for Marriage, Document Registration, EC, CC, Firm, Digital e-Stamp and related services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B22349" w:rsidP="00B22349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Portal help; post go-live feedback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B22349" w:rsidP="00B22349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None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</w:r>
            <w:r>
              <w:rPr>
                <w:rFonts w:ascii="Calibri" w:hAnsi="Calibri" w:eastAsia="Calibri"/>
                <w:b/>
                <w:color w:val="1F4E79"/>
                <w:sz w:val="16"/>
              </w:rPr>
              <w:t>DSR Officers (SR / DEO / FDA / SDA / DRO / DIGR / AIGR / HQA)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Departmental operational users across SRO / DRO / IGRO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Scrutiny, registration, DEO upload, firm/DRO workflows, MIS, audit and appeals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UAT; training before each phase Go-Live; hypercare support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Operational decisions within statutory powers (admit / refuse / pending / etc.)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</w:r>
            <w:r>
              <w:rPr>
                <w:rFonts w:ascii="Calibri" w:hAnsi="Calibri" w:eastAsia="Calibri"/>
                <w:b/>
                <w:color w:val="1F4E79"/>
                <w:sz w:val="16"/>
              </w:rPr>
              <w:t>Other Department users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Officers / staff of government departments other than DSR with assigned Kaveri access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Controlled access to assigned modules (e.g. Income Tax, Banking, Govt. Lawyer, Revenue)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Admin-provisioned accounts; targeted UAT where modules are shared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4471B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None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</w:r>
            <w:r>
              <w:rPr>
                <w:rFonts w:ascii="Calibri" w:hAnsi="Calibri" w:eastAsia="Calibri"/>
                <w:b/>
                <w:color w:val="1F4E79"/>
                <w:sz w:val="16"/>
              </w:rPr>
              <w:t>EKYC – Aadhar Verification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Aadhaar e-KYC / identity verification partner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Citizen and party identity verification for registration and related services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Sandbox SIT; integration war-room;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4471B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Interface SLAs and authN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</w:r>
            <w:r>
              <w:rPr>
                <w:rFonts w:ascii="Calibri" w:hAnsi="Calibri" w:eastAsia="Calibri"/>
                <w:b/>
                <w:color w:val="1F4E79"/>
                <w:sz w:val="16"/>
              </w:rPr>
              <w:t>Khazane – Payment systems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Government payment gateway / treasury payment systems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Fee, stamp and registration payment capture and reconciliation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Sandbox SIT; integration war-room; reconciliation reviews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4471B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Payment interface SLAs and change windows (jointly with DSR / Treasury)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</w:r>
            <w:r>
              <w:rPr>
                <w:rFonts w:ascii="Calibri" w:hAnsi="Calibri" w:eastAsia="Calibri"/>
                <w:b/>
                <w:color w:val="1F4E79"/>
                <w:sz w:val="16"/>
              </w:rPr>
              <w:t>DigiLocker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Document wallet / issued-document partner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Fetch / push of citizen documents and issued certificates where enabled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Sandbox SIT; integration war-room;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4471B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</w:r>
            <w:r>
              <w:rPr>
                <w:rFonts w:ascii="Calibri" w:hAnsi="Calibri" w:eastAsia="Calibri"/>
                <w:b/>
                <w:color w:val="1F4E79"/>
                <w:sz w:val="16"/>
              </w:rPr>
              <w:t>SMS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Transactional / OTP SMS provider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OTP, status and notification delivery to citizens and officers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Sandbox SIT; delivery monitoring;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4471B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SMS provider SLAs and template/change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</w:r>
            <w:r>
              <w:rPr>
                <w:rFonts w:ascii="Calibri" w:hAnsi="Calibri" w:eastAsia="Calibri"/>
                <w:b/>
                <w:color w:val="1F4E79"/>
                <w:sz w:val="16"/>
              </w:rPr>
              <w:t>EMail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Transactional email provider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OTP (where used), receipts, certificates and status notifications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Sandbox SIT; delivery monitoring;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4471B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Email provider SLAs and template/change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</w:r>
            <w:r>
              <w:rPr>
                <w:rFonts w:ascii="Calibri" w:hAnsi="Calibri" w:eastAsia="Calibri"/>
                <w:b/>
                <w:color w:val="1F4E79"/>
                <w:sz w:val="16"/>
              </w:rPr>
              <w:t>Kutumba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Kutumba family / household database integration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Family / household data exchange for eligible Kaveri services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Sandbox SIT; integration war-room;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4471B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</w:r>
            <w:r>
              <w:rPr>
                <w:rFonts w:ascii="Calibri" w:hAnsi="Calibri" w:eastAsia="Calibri"/>
                <w:b/>
                <w:color w:val="1F4E79"/>
                <w:sz w:val="16"/>
              </w:rPr>
              <w:t>Civil Registration System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Civil Registration System (birth / death / related) partner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Civil registration data exchange for marriage and related workflows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Sandbox SIT; integration war-room;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4471B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</w:r>
            <w:r>
              <w:rPr>
                <w:rFonts w:ascii="Calibri" w:hAnsi="Calibri" w:eastAsia="Calibri"/>
                <w:b/>
                <w:color w:val="1F4E79"/>
                <w:sz w:val="16"/>
              </w:rPr>
              <w:t>Labour Department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Labour Department systems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Labour-department data exchange where mandated for registration / verification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Sandbox SIT; integration war-room;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4471B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Interface SLAs and change windows (jointly with DSR / Labour)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</w:r>
            <w:r>
              <w:rPr>
                <w:rFonts w:ascii="Calibri" w:hAnsi="Calibri" w:eastAsia="Calibri"/>
                <w:b/>
                <w:color w:val="1F4E79"/>
                <w:sz w:val="16"/>
              </w:rPr>
              <w:t>Sakala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Karnataka Guarantee of Services to Citizen platform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Service timelines, GSC issuance and statutory status sync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Sandbox SIT; integration war-room; SLA reviews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4471B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Service-timeline 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</w:r>
            <w:r>
              <w:rPr>
                <w:rFonts w:ascii="Calibri" w:hAnsi="Calibri" w:eastAsia="Calibri"/>
                <w:b/>
                <w:color w:val="1F4E79"/>
                <w:sz w:val="16"/>
              </w:rPr>
              <w:t>e-Sign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Aadhaar-based eSign / digital signature services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Citizen eSign and officer digital signature on certificates, deeds, EC/CC and related artefacts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Sandbox SIT; integration war-room;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4471B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Interface SLAs and signing-service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</w:r>
            <w:r>
              <w:rPr>
                <w:rFonts w:ascii="Calibri" w:hAnsi="Calibri" w:eastAsia="Calibri"/>
                <w:b/>
                <w:color w:val="1F4E79"/>
                <w:sz w:val="16"/>
              </w:rPr>
              <w:t>Eswathu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Rural property records system (eSwathu)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Rural property pull; mutation / eKhata push where applicable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Sandbox SIT; integration war-room; mutation reconciliation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4471B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Property/mutation interface SLAs and change windows (jointly with DSR / RDPR)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</w:r>
            <w:r>
              <w:rPr>
                <w:rFonts w:ascii="Calibri" w:hAnsi="Calibri" w:eastAsia="Calibri"/>
                <w:b/>
                <w:color w:val="1F4E79"/>
                <w:sz w:val="16"/>
              </w:rPr>
              <w:t>Eaasthi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Urban property records system (eAasthi)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Urban property pull; mutation / eKhata push where applicable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Sandbox SIT; integration war-room; mutation reconciliation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4471B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Property/mutation interface SLAs and change windows (jointly with DSR / ULB)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</w:r>
            <w:r>
              <w:rPr>
                <w:rFonts w:ascii="Calibri" w:hAnsi="Calibri" w:eastAsia="Calibri"/>
                <w:b/>
                <w:color w:val="1F4E79"/>
                <w:sz w:val="16"/>
              </w:rPr>
              <w:t>Passport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Passport verification / related services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Passport data validation for eligible Kaveri identity / party flows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Sandbox SIT; integration war-room;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4471B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</w:r>
            <w:r>
              <w:rPr>
                <w:rFonts w:ascii="Calibri" w:hAnsi="Calibri" w:eastAsia="Calibri"/>
                <w:b/>
                <w:color w:val="1F4E79"/>
                <w:sz w:val="16"/>
              </w:rPr>
              <w:t>PAN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PAN verification services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PAN validation for parties where mandated (including SFT-related use where approved)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Sandbox SIT; integration war-room;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4471B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</w:r>
            <w:r>
              <w:rPr>
                <w:rFonts w:ascii="Calibri" w:hAnsi="Calibri" w:eastAsia="Calibri"/>
                <w:b/>
                <w:color w:val="1F4E79"/>
                <w:sz w:val="16"/>
              </w:rPr>
              <w:t>Bhoomi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Agricultural land records system (Bhoomi)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Agri property pull; mutation push after registration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Sandbox SIT; integration war-room; mutation reconciliation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4471B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Property/mutation interface SLAs and change windows (jointly with DSR / Revenue)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</w:r>
            <w:r>
              <w:rPr>
                <w:rFonts w:ascii="Calibri" w:hAnsi="Calibri" w:eastAsia="Calibri"/>
                <w:b/>
                <w:color w:val="1F4E79"/>
                <w:sz w:val="16"/>
              </w:rPr>
              <w:t>KSRSAC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Karnataka State Remote Sensing Applications Centre (GIS / map services)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Map / GIS layer support for valuation and related spatial flows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Sandbox SIT; integration war-room;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4471B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</w:r>
            <w:r>
              <w:rPr>
                <w:rFonts w:ascii="Calibri" w:hAnsi="Calibri" w:eastAsia="Calibri"/>
                <w:b/>
                <w:color w:val="1F4E79"/>
                <w:sz w:val="16"/>
              </w:rPr>
              <w:t>FRUITS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FRUITS agri mortgage / release filing system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Agri mortgage / release filing and related EC / notification exchange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Sandbox SIT; integration war-room;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4471B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Interface SLAs and change windows (jointly with DSR)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</w:r>
            <w:r>
              <w:rPr>
                <w:rFonts w:ascii="Calibri" w:hAnsi="Calibri" w:eastAsia="Calibri"/>
                <w:b/>
                <w:color w:val="1F4E79"/>
                <w:sz w:val="16"/>
              </w:rPr>
              <w:t>Mogini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Mogini (survey / agri property) system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Survey / agri property data exchange alongside Bhoomi flows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Sandbox SIT; integration war-room;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4471B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Interface SLAs and change windows (jointly with DSR / Revenue)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</w:r>
            <w:r>
              <w:rPr>
                <w:rFonts w:ascii="Calibri" w:hAnsi="Calibri" w:eastAsia="Calibri"/>
                <w:b/>
                <w:color w:val="1F4E79"/>
                <w:sz w:val="16"/>
              </w:rPr>
              <w:t>Income Tax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Income Tax Department systems / access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Inter-department access and data exchange for Income Tax use cases on Kaveri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Admin provisioning; sandbox SIT where APIs apply; change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4471B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Interface / access SLAs and change windows (jointly with DSR / ITD)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</w:r>
            <w:r>
              <w:rPr>
                <w:rFonts w:ascii="Calibri" w:hAnsi="Calibri" w:eastAsia="Calibri"/>
                <w:b/>
                <w:color w:val="1F4E79"/>
                <w:sz w:val="16"/>
              </w:rPr>
              <w:t>Kaveri IT Cell delivery &amp; ops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Architect, Tech Leads, BA, Full Stack, Integration, UI/UX, DBA, Migration, QA/Test, Perf/Security, DevOps, Security, BI, Content, Transition, L2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Design, build, migrate, test, deploy, observe and hypercare Kaveri 3.0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4471B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Architecture sync; release training; L2 hypercare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FFFFF"/>
          </w:tcPr>
          <w:p w:rsidR="00926D9F" w:rsidRPr="00F06DA7" w:rsidRDefault="00926D9F" w:rsidP="004471B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Technical design within NFR; release-readiness recommendation to committee</w:t>
            </w:r>
          </w:p>
        </w:tc>
      </w:tr>
      <w:tr w:rsidR="00926D9F" w:rsidRPr="00F06DA7" w:rsidTr="003A799F">
        <w:trPr>
          <w:jc w:val="center"/>
        </w:trPr>
        <w:tc>
          <w:tcPr>
            <w:tcW w:w="2041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b/>
                <w:color w:val="1F4E79"/>
                <w:sz w:val="16"/>
              </w:rPr>
            </w:r>
            <w:r>
              <w:rPr>
                <w:rFonts w:ascii="Calibri" w:hAnsi="Calibri" w:eastAsia="Calibri"/>
                <w:b/>
                <w:color w:val="1F4E79"/>
                <w:sz w:val="16"/>
              </w:rPr>
              <w:t>SDC / Infrastructure operations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State Data Centre hosting, network (incl. KSWAN for department UI) and WAF</w:t>
            </w:r>
          </w:p>
        </w:tc>
        <w:tc>
          <w:tcPr>
            <w:tcW w:w="192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4471B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Environments (Pre-Prod/Prod), capacity, connectivity and infra change windows</w:t>
            </w:r>
          </w:p>
        </w:tc>
        <w:tc>
          <w:tcPr>
            <w:tcW w:w="1814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Ops coordination; deployment and rollback windows</w:t>
            </w:r>
          </w:p>
        </w:tc>
        <w:tc>
          <w:tcPr>
            <w:tcW w:w="1757" w:type="dxa"/>
            <w:tcBorders>
              <w:top w:val="single" w:sz="4" w:space="0" w:color="8FA3B8"/>
              <w:left w:val="single" w:sz="4" w:space="0" w:color="8FA3B8"/>
              <w:bottom w:val="single" w:sz="4" w:space="0" w:color="8FA3B8"/>
              <w:right w:val="single" w:sz="4" w:space="0" w:color="8FA3B8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top"/>
            <w:hideMark/>
            <w:shd w:val="clear" w:color="auto" w:fill="F2F6FA"/>
          </w:tcPr>
          <w:p w:rsidR="00926D9F" w:rsidRPr="00F06DA7" w:rsidRDefault="00926D9F" w:rsidP="00926D9F">
            <w:pPr>
              <w:spacing w:after="40" w:line="240" w:lineRule="auto" w:before="0"/>
              <w:jc w:val="left"/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hAnsi="Calibri" w:eastAsia="Calibri"/>
                <w:color w:val="242424"/>
                <w:sz w:val="18"/>
              </w:rPr>
            </w:r>
            <w:r>
              <w:rPr>
                <w:rFonts w:ascii="Calibri" w:hAnsi="Calibri" w:eastAsia="Calibri"/>
                <w:b w:val="0"/>
                <w:color w:val="242424"/>
                <w:sz w:val="16"/>
              </w:rPr>
              <w:t>Infra capacity, network and change-window approval</w:t>
            </w:r>
          </w:p>
        </w:tc>
      </w:tr>
    </w:tbl>
    <w:sectPr w:rsidR="00926D9F" w:rsidRPr="00F06DA7">
      <w:pgSz w:w="11906" w:h="16838"/>
      <w:pgMar w:top="907" w:right="1020" w:bottom="907" w:left="10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56A0F"/>
    <w:multiLevelType w:val="multilevel"/>
    <w:tmpl w:val="3C7E2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71595A"/>
    <w:multiLevelType w:val="multilevel"/>
    <w:tmpl w:val="1D164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775C0D"/>
    <w:multiLevelType w:val="multilevel"/>
    <w:tmpl w:val="73B67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F72C12"/>
    <w:multiLevelType w:val="multilevel"/>
    <w:tmpl w:val="BE5C6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D9F"/>
    <w:rsid w:val="00031631"/>
    <w:rsid w:val="00037B18"/>
    <w:rsid w:val="00152FF9"/>
    <w:rsid w:val="002420D1"/>
    <w:rsid w:val="00250807"/>
    <w:rsid w:val="002712B0"/>
    <w:rsid w:val="003443F5"/>
    <w:rsid w:val="003A799F"/>
    <w:rsid w:val="003C3D3A"/>
    <w:rsid w:val="003F2829"/>
    <w:rsid w:val="004471BF"/>
    <w:rsid w:val="00551C26"/>
    <w:rsid w:val="00557DD9"/>
    <w:rsid w:val="00580BA2"/>
    <w:rsid w:val="00656580"/>
    <w:rsid w:val="006D0F54"/>
    <w:rsid w:val="00701ADC"/>
    <w:rsid w:val="00755E90"/>
    <w:rsid w:val="0084280E"/>
    <w:rsid w:val="008C147C"/>
    <w:rsid w:val="009260FE"/>
    <w:rsid w:val="00926D9F"/>
    <w:rsid w:val="00A230D8"/>
    <w:rsid w:val="00A93664"/>
    <w:rsid w:val="00AF118F"/>
    <w:rsid w:val="00B22349"/>
    <w:rsid w:val="00B40563"/>
    <w:rsid w:val="00B90ECE"/>
    <w:rsid w:val="00CB58BA"/>
    <w:rsid w:val="00D86C45"/>
    <w:rsid w:val="00E4441F"/>
    <w:rsid w:val="00F06DA7"/>
    <w:rsid w:val="00F14D12"/>
    <w:rsid w:val="00FC340C"/>
    <w:rsid w:val="00FF1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64080"/>
  <w15:chartTrackingRefBased/>
  <w15:docId w15:val="{0A4BAF22-5BEF-41C5-9F1F-9C48A18D3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926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xmsonormal">
    <w:name w:val="x_msonormal"/>
    <w:basedOn w:val="Normal"/>
    <w:rsid w:val="00926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ui-buttonicon">
    <w:name w:val="fui-button__icon"/>
    <w:basedOn w:val="DefaultParagraphFont"/>
    <w:rsid w:val="00926D9F"/>
  </w:style>
  <w:style w:type="paragraph" w:styleId="NormalWeb">
    <w:name w:val="Normal (Web)"/>
    <w:basedOn w:val="Normal"/>
    <w:uiPriority w:val="99"/>
    <w:semiHidden/>
    <w:unhideWhenUsed/>
    <w:rsid w:val="002712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20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1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33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67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8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15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70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80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4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91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5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37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2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41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39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49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4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0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29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2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78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54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76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01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1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910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87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45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49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8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49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7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16</Pages>
  <Words>3543</Words>
  <Characters>20199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28</cp:revision>
  <dcterms:created xsi:type="dcterms:W3CDTF">2026-09-22T10:24:00Z</dcterms:created>
  <dcterms:modified xsi:type="dcterms:W3CDTF">2026-09-23T11:30:00Z</dcterms:modified>
</cp:coreProperties>
</file>