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ED4" w:rsidRDefault="00D1289F">
      <w:pPr>
        <w:spacing w:after="40"/>
      </w:pPr>
      <w:r>
        <w:rPr>
          <w:rFonts w:ascii="Calibri" w:eastAsia="Calibri" w:hAnsi="Calibri"/>
          <w:b/>
          <w:color w:val="1F4E79"/>
          <w:sz w:val="40"/>
        </w:rPr>
        <w:t>Kaveri 3.0 — IT Project Scope</w:t>
      </w:r>
    </w:p>
    <w:p w:rsidR="00FF2ED4" w:rsidRDefault="00D1289F">
      <w:pPr>
        <w:spacing w:after="40"/>
      </w:pPr>
      <w:r>
        <w:rPr>
          <w:rFonts w:ascii="Calibri" w:eastAsia="Calibri" w:hAnsi="Calibri"/>
          <w:color w:val="242424"/>
        </w:rPr>
        <w:t>Department of Stamps and Registration (DSR), Government of Karnataka</w:t>
      </w:r>
    </w:p>
    <w:p w:rsidR="00FF2ED4" w:rsidRDefault="00D1289F">
      <w:pPr>
        <w:spacing w:after="240"/>
      </w:pPr>
      <w:r>
        <w:rPr>
          <w:rFonts w:ascii="Calibri" w:eastAsia="Calibri" w:hAnsi="Calibri"/>
          <w:color w:val="5A6A7A"/>
          <w:sz w:val="18"/>
        </w:rPr>
        <w:t>Document version 1.9  ·  In Scope &amp; Key Stakeholders</w:t>
      </w:r>
    </w:p>
    <w:p w:rsidR="00037B18" w:rsidRPr="00F06DA7" w:rsidRDefault="00926D9F" w:rsidP="00037B18">
      <w:pPr>
        <w:rPr>
          <w:rFonts w:ascii="Calibri" w:eastAsia="Times New Roman" w:hAnsi="Calibri" w:cs="Calibri"/>
          <w:b/>
          <w:lang w:eastAsia="en-IN"/>
        </w:rPr>
      </w:pPr>
      <w:r>
        <w:rPr>
          <w:rFonts w:ascii="Calibri" w:eastAsia="Calibri" w:hAnsi="Calibri"/>
          <w:b/>
          <w:color w:val="1F4E79"/>
          <w:sz w:val="32"/>
        </w:rPr>
        <w:t>1. In Scope</w:t>
      </w:r>
    </w:p>
    <w:p w:rsidR="00926D9F" w:rsidRPr="00F06DA7" w:rsidRDefault="00926D9F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eastAsia="en-IN"/>
        </w:rPr>
      </w:pPr>
    </w:p>
    <w:tbl>
      <w:tblPr>
        <w:tblW w:w="992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3"/>
        <w:gridCol w:w="2165"/>
        <w:gridCol w:w="6555"/>
      </w:tblGrid>
      <w:tr w:rsidR="00926D9F" w:rsidRPr="00F06DA7" w:rsidTr="00B70671">
        <w:trPr>
          <w:trHeight w:val="300"/>
          <w:tblHeader/>
          <w:jc w:val="center"/>
        </w:trPr>
        <w:tc>
          <w:tcPr>
            <w:tcW w:w="1203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2165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Scope item</w:t>
            </w:r>
          </w:p>
        </w:tc>
        <w:tc>
          <w:tcPr>
            <w:tcW w:w="6555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Description / boundary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1203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IS-03</w:t>
            </w:r>
          </w:p>
        </w:tc>
        <w:tc>
          <w:tcPr>
            <w:tcW w:w="216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Document Registration</w:t>
            </w:r>
          </w:p>
        </w:tc>
        <w:tc>
          <w:tcPr>
            <w:tcW w:w="655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2 types of flows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– Paper and Paperless.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Paper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– ink-signed deed, physical presentation, scan &amp; store.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Paperless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– digital execution (e-Sign / DSC), biometric e-KYC, digital endorsements.</w:t>
            </w:r>
          </w:p>
          <w:p w:rsidR="00FF2ED4" w:rsidRDefault="00FF2ED4">
            <w:pPr>
              <w:spacing w:after="40" w:line="240" w:lineRule="auto"/>
            </w:pP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Citizen pre-registration flow: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Type of Document (Sale, Mortgage, Lease,Partition, Gift, GPA, Will, etc.); Property Search (Bhoomi, e-Swathu, e-Aasthi, ULMS, etc); Property Schedul</w:t>
            </w:r>
            <w:r>
              <w:rPr>
                <w:rFonts w:ascii="Calibri" w:eastAsia="Calibri" w:hAnsi="Calibri"/>
                <w:color w:val="242424"/>
                <w:sz w:val="18"/>
              </w:rPr>
              <w:t>e;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Market Valuation &amp; Fee Calculation ; Party Information; Document Summary; SRO Confirmation;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Payment; Appointment; Anywhere registration within sub-district</w:t>
            </w:r>
          </w:p>
          <w:p w:rsidR="00FF2ED4" w:rsidRDefault="00FF2ED4">
            <w:pPr>
              <w:spacing w:after="40" w:line="240" w:lineRule="auto"/>
            </w:pP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Department flow: allocation to DEO; biometrics; Aadhaar Authentication.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 xml:space="preserve">Register / Keep Pending </w:t>
            </w:r>
            <w:r>
              <w:rPr>
                <w:rFonts w:ascii="Calibri" w:eastAsia="Calibri" w:hAnsi="Calibri"/>
                <w:color w:val="242424"/>
                <w:sz w:val="18"/>
              </w:rPr>
              <w:t>/ Withdraw / Refuse / Send back; Index I–II; J-slip to Bhoomi; scan &amp; digital sign.</w:t>
            </w:r>
          </w:p>
          <w:p w:rsidR="00FF2ED4" w:rsidRDefault="00FF2ED4">
            <w:pPr>
              <w:spacing w:after="40" w:line="240" w:lineRule="auto"/>
            </w:pP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Other Requirements : Re-registration on DR/Court order; K1/2 pending release; Will after death (Book 3); Book-I filings; exceptional cases (delay condonation, private atte</w:t>
            </w:r>
            <w:r>
              <w:rPr>
                <w:rFonts w:ascii="Calibri" w:eastAsia="Calibri" w:hAnsi="Calibri"/>
                <w:color w:val="242424"/>
                <w:sz w:val="18"/>
              </w:rPr>
              <w:t>ndance, undervaluation/impound, PoA, etc.);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Court Stay Order search &amp; display, Liability, Cross Reference, Sec. 68(2) Correction, Filing Document supporting modules.</w:t>
            </w:r>
          </w:p>
          <w:p w:rsidR="00FF2ED4" w:rsidRDefault="00FF2ED4">
            <w:pPr>
              <w:spacing w:after="40" w:line="240" w:lineRule="auto"/>
            </w:pP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1203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IS-04</w:t>
            </w:r>
          </w:p>
        </w:tc>
        <w:tc>
          <w:tcPr>
            <w:tcW w:w="216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Market Valuation</w:t>
            </w:r>
          </w:p>
        </w:tc>
        <w:tc>
          <w:tcPr>
            <w:tcW w:w="655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8"/>
              </w:rPr>
              <w:t>Guideline / market value determination for stamp duty and registration fee.</w:t>
            </w:r>
          </w:p>
          <w:p w:rsidR="00FF2ED4" w:rsidRDefault="00FF2ED4">
            <w:pPr>
              <w:spacing w:after="40" w:line="240" w:lineRule="auto"/>
            </w:pP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Agricultural properties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– GIS-based automated valuation via Bhoomi / KSRSAC attribute fetch; 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Non-agricultural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– extract from the masters 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Citizen / SR ability to estimate Guidance Value, Stamp Duty and Registration Fee; Form-1 / schedul</w:t>
            </w:r>
            <w:r>
              <w:rPr>
                <w:rFonts w:ascii="Calibri" w:eastAsia="Calibri" w:hAnsi="Calibri"/>
                <w:color w:val="242424"/>
                <w:sz w:val="18"/>
              </w:rPr>
              <w:t>e based valuation at SRO.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Article-based fee calculation integrated with Document Registration and Digital e-Stamp.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1203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IS-05</w:t>
            </w:r>
          </w:p>
        </w:tc>
        <w:tc>
          <w:tcPr>
            <w:tcW w:w="216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Encumbrance Certificate</w:t>
            </w:r>
          </w:p>
        </w:tc>
        <w:tc>
          <w:tcPr>
            <w:tcW w:w="655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8"/>
              </w:rPr>
              <w:t>EC shows registered transactions over a property (Form 22 application; Form 15 / nil Form 16).</w:t>
            </w:r>
          </w:p>
          <w:p w:rsidR="00FF2ED4" w:rsidRDefault="00FF2ED4">
            <w:pPr>
              <w:spacing w:after="40" w:line="240" w:lineRule="auto"/>
            </w:pP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Search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– property parameters (district / taluk / hobli / village / survey / property no. / extent / boundaries); 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Kaveri-1/2 EC retrieval via Kaveri-1/2 integration.</w:t>
            </w:r>
          </w:p>
          <w:p w:rsidR="00FF2ED4" w:rsidRDefault="00FF2ED4">
            <w:pPr>
              <w:spacing w:after="40" w:line="240" w:lineRule="auto"/>
            </w:pP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 xml:space="preserve">Online application → payment → digitally signed EC (SDA / FDA / SR digital sign chain (digital </w:t>
            </w:r>
            <w:r>
              <w:rPr>
                <w:rFonts w:ascii="Calibri" w:eastAsia="Calibri" w:hAnsi="Calibri"/>
                <w:color w:val="242424"/>
                <w:sz w:val="18"/>
              </w:rPr>
              <w:t>signatures at multiple stages)).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Offline / department path at SRO; Index-II based generation.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Transaction EC printed as part of Document Registration completion (Form 15).</w:t>
            </w:r>
          </w:p>
          <w:p w:rsidR="00FF2ED4" w:rsidRDefault="00FF2ED4">
            <w:pPr>
              <w:spacing w:after="40" w:line="240" w:lineRule="auto"/>
            </w:pP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1203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IS-06</w:t>
            </w:r>
          </w:p>
        </w:tc>
        <w:tc>
          <w:tcPr>
            <w:tcW w:w="216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Certified Copy</w:t>
            </w:r>
          </w:p>
        </w:tc>
        <w:tc>
          <w:tcPr>
            <w:tcW w:w="655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8"/>
              </w:rPr>
              <w:t>Digitally signed copy of registered scanned document (Book-1 and related book types; Marriage / Marriage Notice as applicable, Firms).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Search by Document details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– Document Type, District, SRO, Book Type (Book-1 parts, Rule 17(2)/(3), etc.), Document Number, Year.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lastRenderedPageBreak/>
              <w:t xml:space="preserve">Online application → stamp duty payment (Sec. 10A / </w:t>
            </w:r>
            <w:r>
              <w:rPr>
                <w:rFonts w:ascii="Calibri" w:eastAsia="Calibri" w:hAnsi="Calibri"/>
                <w:color w:val="242424"/>
                <w:sz w:val="18"/>
              </w:rPr>
              <w:t>Appendix BA) → SDA / FDA / SR digital sign → citizen download.</w:t>
            </w:r>
          </w:p>
          <w:p w:rsidR="00FF2ED4" w:rsidRDefault="00FF2ED4">
            <w:pPr>
              <w:spacing w:after="40" w:line="240" w:lineRule="auto"/>
            </w:pP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Suo Moto CC (Book-3 / Book-4): citizen presents original at SRO; department CC search without citizen self-service for classified books;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SDA prepare &amp; sign → FDA verify → SR approve &amp; sign → p</w:t>
            </w:r>
            <w:r>
              <w:rPr>
                <w:rFonts w:ascii="Calibri" w:eastAsia="Calibri" w:hAnsi="Calibri"/>
                <w:color w:val="242424"/>
                <w:sz w:val="18"/>
              </w:rPr>
              <w:t>rint &amp; deliver; payment mode same as Suo Moto EC.</w:t>
            </w:r>
          </w:p>
          <w:p w:rsidR="00FF2ED4" w:rsidRDefault="00FF2ED4">
            <w:pPr>
              <w:spacing w:after="40" w:line="240" w:lineRule="auto"/>
            </w:pP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Boundary: EC is IS-05. Firm Form-C / register extracts also available under Firm module (IS-07).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1203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lastRenderedPageBreak/>
              <w:t>IS-07</w:t>
            </w:r>
          </w:p>
        </w:tc>
        <w:tc>
          <w:tcPr>
            <w:tcW w:w="216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Firm Registration</w:t>
            </w:r>
          </w:p>
        </w:tc>
        <w:tc>
          <w:tcPr>
            <w:tcW w:w="655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Services: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New Firm Registration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Amendment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– firm name / principal place; other places of business; partner name / address; notice of election on attaining majority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Reconstitution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– incoming / outgoing partner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Dissolution of Firm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 xml:space="preserve">Protest/Dispute Entry; Index Search; Certified Copy of Register of </w:t>
            </w:r>
            <w:r>
              <w:rPr>
                <w:rFonts w:ascii="Calibri" w:eastAsia="Calibri" w:hAnsi="Calibri"/>
                <w:color w:val="242424"/>
                <w:sz w:val="18"/>
              </w:rPr>
              <w:t>Firms entries</w:t>
            </w:r>
          </w:p>
          <w:p w:rsidR="00FF2ED4" w:rsidRDefault="00FF2ED4">
            <w:pPr>
              <w:spacing w:after="40" w:line="240" w:lineRule="auto"/>
            </w:pP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Online and Offline at DRO; approval by District Registrar.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Two-step: partnership / reconstitution / dissolution deed at SRO then firm filing at DRO (Indian Partnership Act, 1932).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Name uniqueness / objectionable names (Emblems and Names Act)</w:t>
            </w:r>
            <w:r>
              <w:rPr>
                <w:rFonts w:ascii="Calibri" w:eastAsia="Calibri" w:hAnsi="Calibri"/>
                <w:color w:val="242424"/>
                <w:sz w:val="18"/>
              </w:rPr>
              <w:t>; fee, Form C, Register of Firms &amp; Index; DigiLocker e-Sign; SAKALA; Aadhaar dependency; K1/2→K3 firm migration.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1203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IS-08</w:t>
            </w:r>
          </w:p>
        </w:tc>
        <w:tc>
          <w:tcPr>
            <w:tcW w:w="216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Digital E-Stamp</w:t>
            </w:r>
          </w:p>
        </w:tc>
        <w:tc>
          <w:tcPr>
            <w:tcW w:w="655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8"/>
              </w:rPr>
              <w:t>Digital e-Stamp for optionally registrable articles (stamp duty payable; registration under Registration Act not compulsory).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Citizen applies on Kaveri 3.0; stamp duty calculated from article / property / location; pay via UPI / net banking / cards;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 xml:space="preserve">Instant unique </w:t>
            </w:r>
            <w:r w:rsidR="00B70671">
              <w:rPr>
                <w:rFonts w:ascii="Calibri" w:eastAsia="Calibri" w:hAnsi="Calibri"/>
                <w:color w:val="242424"/>
                <w:sz w:val="18"/>
              </w:rPr>
              <w:t xml:space="preserve">Digital </w:t>
            </w:r>
            <w:r>
              <w:rPr>
                <w:rFonts w:ascii="Calibri" w:eastAsia="Calibri" w:hAnsi="Calibri"/>
                <w:color w:val="242424"/>
                <w:sz w:val="18"/>
              </w:rPr>
              <w:t>e-Stamp certificate; download digitally signed e-Stamp from dashboard.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1203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IS-10</w:t>
            </w:r>
          </w:p>
        </w:tc>
        <w:tc>
          <w:tcPr>
            <w:tcW w:w="216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Audit</w:t>
            </w:r>
          </w:p>
        </w:tc>
        <w:tc>
          <w:tcPr>
            <w:tcW w:w="655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Internal Audit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– DR / IGR / Regional Committee / HQA / Deputy Commissioner inspections.</w:t>
            </w:r>
          </w:p>
          <w:p w:rsidR="00FF2ED4" w:rsidRDefault="00D1289F">
            <w:pPr>
              <w:spacing w:after="40" w:line="240" w:lineRule="auto"/>
            </w:pPr>
            <w:bookmarkStart w:id="0" w:name="_GoBack"/>
            <w:bookmarkEnd w:id="0"/>
            <w:r>
              <w:rPr>
                <w:rFonts w:ascii="Calibri" w:eastAsia="Calibri" w:hAnsi="Calibri"/>
                <w:b/>
                <w:color w:val="1F4E79"/>
                <w:sz w:val="18"/>
              </w:rPr>
              <w:t>External Audit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– Auditor General / AG office annual inspection; Local Audit Report; Audit Para query &amp; response.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 xml:space="preserve">AG / auditor login creation by office head (SR / DR / ); AG email + </w:t>
            </w:r>
            <w:r>
              <w:rPr>
                <w:rFonts w:ascii="Calibri" w:eastAsia="Calibri" w:hAnsi="Calibri"/>
                <w:color w:val="242424"/>
                <w:sz w:val="18"/>
              </w:rPr>
              <w:t>ID card; period-based fetch of registered documents;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Request to view document details → office head approval → digitally accessible audit trail instead of manual consolidation.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1203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IS-11</w:t>
            </w:r>
          </w:p>
        </w:tc>
        <w:tc>
          <w:tcPr>
            <w:tcW w:w="216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External Integrations</w:t>
            </w:r>
          </w:p>
        </w:tc>
        <w:tc>
          <w:tcPr>
            <w:tcW w:w="655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Kaveri 3.0 shall connect to send/receive data with the following external systems (as deployed / available):</w:t>
            </w:r>
          </w:p>
          <w:p w:rsidR="00FF2ED4" w:rsidRDefault="00FF2ED4">
            <w:pPr>
              <w:spacing w:after="40" w:line="240" w:lineRule="auto"/>
            </w:pP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EKYC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– Aadhar Verification — Real-time Aadhaar e-KYC / Face Authentication for citizen and party identity verification during registration, marriage and related flows.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Khazane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– Payment systems — </w:t>
            </w:r>
            <w:r>
              <w:rPr>
                <w:rFonts w:ascii="Calibri" w:eastAsia="Calibri" w:hAnsi="Calibri"/>
                <w:color w:val="242424"/>
                <w:sz w:val="18"/>
              </w:rPr>
              <w:t>Government payment gateway for collection and reconciliation of stamp duty, registration fees and other statutory payments.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DigiLocker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— Fetch / push of citizen documents and issued certificates (where enabled) via DigiLocker APIs.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SMS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— Transactional SMS for OTP, application status, appointment and certificate / receipt notifications.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EMail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— Transactional email for OTP (where used), receipts, certificates and status notifications.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Kutumba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— marriage registration data.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Civil Registrati</w:t>
            </w:r>
            <w:r>
              <w:rPr>
                <w:rFonts w:ascii="Calibri" w:eastAsia="Calibri" w:hAnsi="Calibri"/>
                <w:color w:val="242424"/>
                <w:sz w:val="18"/>
              </w:rPr>
              <w:t>on System —civil-registration data exchange for marriage and linked workflows.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Labour Department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— marriage registration data to avail benefits.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Sakala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— Karnataka Guarantee of Services to Citizen: GSC issuance, service timelines and statutory status sync.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lastRenderedPageBreak/>
              <w:t>e-Sign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— Aadhaar-based electronic signature for citizens on applications, deeds, certificates, EC/CC and related artefacts.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Eswathu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— Rural non-agricultural property records: property pull and mutation / eKhata push after registration.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Eaasthi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— Urban pro</w:t>
            </w:r>
            <w:r>
              <w:rPr>
                <w:rFonts w:ascii="Calibri" w:eastAsia="Calibri" w:hAnsi="Calibri"/>
                <w:color w:val="242424"/>
                <w:sz w:val="18"/>
              </w:rPr>
              <w:t>perty records: property pull and mutation / eKhata push after registration.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Passport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— Passport number / details validation for party identity where Passport is selected as proof of identity.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PAN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— Real-time PAN authentication for parties (including mandat</w:t>
            </w:r>
            <w:r>
              <w:rPr>
                <w:rFonts w:ascii="Calibri" w:eastAsia="Calibri" w:hAnsi="Calibri"/>
                <w:color w:val="242424"/>
                <w:sz w:val="18"/>
              </w:rPr>
              <w:t>ory checks when market / consideration value thresholds apply; Form 60/61 where PAN is unavailable).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Bhoomi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— Agricultural land records: property schedule pull and mutation intimation / push after registration.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KSRSAC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— Karnataka State Remote Sensing Appli</w:t>
            </w:r>
            <w:r>
              <w:rPr>
                <w:rFonts w:ascii="Calibri" w:eastAsia="Calibri" w:hAnsi="Calibri"/>
                <w:color w:val="242424"/>
                <w:sz w:val="18"/>
              </w:rPr>
              <w:t>cations Centre: GIS / map layers for valuation and spatial property support.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FRUITS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— Agricultural mortgage / release filing integration and related EC / notification exchange with FRUITS.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Mogini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— Survey / agri property data exchange alongside Bhoomi for </w:t>
            </w:r>
            <w:r>
              <w:rPr>
                <w:rFonts w:ascii="Calibri" w:eastAsia="Calibri" w:hAnsi="Calibri"/>
                <w:color w:val="242424"/>
                <w:sz w:val="18"/>
              </w:rPr>
              <w:t>property identification and mutation support.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Income Tax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— Inter-department access and data exchange for Income Tax Department use cases on Kaveri (Other Department users / approved APIs).</w:t>
            </w:r>
          </w:p>
          <w:p w:rsidR="00FF2ED4" w:rsidRDefault="00FF2ED4">
            <w:pPr>
              <w:spacing w:after="40" w:line="240" w:lineRule="auto"/>
            </w:pP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P.S.: External systems are owned by respective agencies; Kaveri in</w:t>
            </w:r>
            <w:r>
              <w:rPr>
                <w:rFonts w:ascii="Calibri" w:eastAsia="Calibri" w:hAnsi="Calibri"/>
                <w:color w:val="242424"/>
                <w:sz w:val="18"/>
              </w:rPr>
              <w:t>tegrates via SOAP/REST APIs / scheduled jobs.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1203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lastRenderedPageBreak/>
              <w:t>IS-12</w:t>
            </w:r>
          </w:p>
        </w:tc>
        <w:tc>
          <w:tcPr>
            <w:tcW w:w="216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Reporting / Dashboard</w:t>
            </w:r>
          </w:p>
        </w:tc>
        <w:tc>
          <w:tcPr>
            <w:tcW w:w="655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Citizen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– application status tracking, download certificates / e-Stamp / EC / CC.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Department dashboards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– SR / DR / IGR worklists (scrutiny, registration, EC/CC approval, firm, audit requests).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MIS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– registrations by article / book / office; revenue by mode/channel; pending / refused / withdrawn / undervaluation;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Marriage / Firm statistics; SLA / Sakala ori</w:t>
            </w:r>
            <w:r>
              <w:rPr>
                <w:rFonts w:ascii="Calibri" w:eastAsia="Calibri" w:hAnsi="Calibri"/>
                <w:color w:val="242424"/>
                <w:sz w:val="18"/>
              </w:rPr>
              <w:t>ented views; bilingual labels where required.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Scheduled / batch jobs for reconciliation and reporting (Architecture).</w:t>
            </w:r>
          </w:p>
          <w:p w:rsidR="00FF2ED4" w:rsidRDefault="00FF2ED4">
            <w:pPr>
              <w:spacing w:after="40" w:line="240" w:lineRule="auto"/>
            </w:pP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 xml:space="preserve">The Kaveri 3.0 solution shall provide a centralized Business Intelligence, MIS and analytical reporting capability using Microsoft Power </w:t>
            </w:r>
            <w:r>
              <w:rPr>
                <w:rFonts w:ascii="Calibri" w:eastAsia="Calibri" w:hAnsi="Calibri"/>
                <w:color w:val="242424"/>
                <w:sz w:val="18"/>
              </w:rPr>
              <w:t>BI for public transparency, departmental performance analysis, statutory reporting, executive decision support and administrative monitoring.</w:t>
            </w:r>
          </w:p>
          <w:p w:rsidR="00FF2ED4" w:rsidRDefault="00FF2ED4">
            <w:pPr>
              <w:spacing w:after="40" w:line="240" w:lineRule="auto"/>
            </w:pPr>
          </w:p>
          <w:p w:rsidR="00FF2ED4" w:rsidRDefault="00FF2ED4">
            <w:pPr>
              <w:spacing w:after="40" w:line="240" w:lineRule="auto"/>
            </w:pPr>
          </w:p>
          <w:p w:rsidR="00FF2ED4" w:rsidRDefault="00FF2ED4">
            <w:pPr>
              <w:spacing w:after="40" w:line="240" w:lineRule="auto"/>
            </w:pP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1203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IS-13</w:t>
            </w:r>
          </w:p>
        </w:tc>
        <w:tc>
          <w:tcPr>
            <w:tcW w:w="216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Security</w:t>
            </w:r>
          </w:p>
        </w:tc>
        <w:tc>
          <w:tcPr>
            <w:tcW w:w="655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8"/>
              </w:rPr>
              <w:t>HTTPS enforced for all citizen and department web / API traffic (TLS end-to-end to the edge).</w:t>
            </w:r>
          </w:p>
          <w:p w:rsidR="00FF2ED4" w:rsidRDefault="00FF2ED4">
            <w:pPr>
              <w:spacing w:after="40" w:line="240" w:lineRule="auto"/>
            </w:pP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SSL / TLS certificates managed for public and internal endpoints; reverse proxy performs SSL offloading where deployed.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Reverse proxy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– SSL offloading, rate limiting, bot blocking, load balancing.</w:t>
            </w:r>
          </w:p>
          <w:p w:rsidR="00FF2ED4" w:rsidRDefault="00FF2ED4">
            <w:pPr>
              <w:spacing w:after="40" w:line="240" w:lineRule="auto"/>
            </w:pP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API Gateway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– authN/Z on every request, IP/route rate limi</w:t>
            </w:r>
            <w:r>
              <w:rPr>
                <w:rFonts w:ascii="Calibri" w:eastAsia="Calibri" w:hAnsi="Calibri"/>
                <w:color w:val="242424"/>
                <w:sz w:val="18"/>
              </w:rPr>
              <w:t>ts, Redis session,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Quality &amp; Security Gates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– Unit Testing, SonarQube Quality Gates, SAST, Dependency Scanning, Container Image Scanning (Trivy), DAST/Security Validation for higher environments.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RBAC via User Management; department interface only on KSWAN</w:t>
            </w:r>
            <w:r>
              <w:rPr>
                <w:rFonts w:ascii="Calibri" w:eastAsia="Calibri" w:hAnsi="Calibri"/>
                <w:color w:val="242424"/>
                <w:sz w:val="18"/>
              </w:rPr>
              <w:t>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Digital signatures (e-Sign/DSC) on registered documents, EC, CC, e-Stamp, firm certificates.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Reduced attack surface by not exposing internal microservices directly (API Gateway pattern).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1203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lastRenderedPageBreak/>
              <w:t>IS-14</w:t>
            </w:r>
          </w:p>
        </w:tc>
        <w:tc>
          <w:tcPr>
            <w:tcW w:w="216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Environment &amp; Deployment</w:t>
            </w:r>
          </w:p>
        </w:tc>
        <w:tc>
          <w:tcPr>
            <w:tcW w:w="655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2712B0" w:rsidRPr="00F06DA7" w:rsidRDefault="002712B0" w:rsidP="002712B0">
            <w:pPr>
              <w:pStyle w:val="NormalWeb"/>
              <w:spacing w:before="0"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/>
                <w:color w:val="242424"/>
                <w:sz w:val="18"/>
              </w:rPr>
              <w:t>Stack: Angular SPA (Citizen Portal &amp; Department Portal); .NET Core/.NET 8 APIs; Python Services (where applicable); PostgreSQL; Redis Cache; Keycloak (SSO &amp; Identity Management).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 xml:space="preserve">DevOps &amp; Platform: GitLab Enterprise, GitLab Runner, GitLab Container Registry, Docker, Docker Compose, </w:t>
            </w:r>
            <w:r>
              <w:rPr>
                <w:rFonts w:ascii="Calibri" w:eastAsia="Calibri" w:hAnsi="Calibri"/>
                <w:color w:val="242424"/>
                <w:sz w:val="18"/>
              </w:rPr>
              <w:t>SonarQube, Gitlab contianer scanning/Trivy (Container Security Scanning), OWASP ZAP/DAST (future phase).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Environments: Development (On-Prem) → DEV (On-Prem) → QA (On-Prem) → UAT/Pre-Prod (Onprime/SDC) → Production (SDC).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Deployment units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– Angular UI appli</w:t>
            </w:r>
            <w:r>
              <w:rPr>
                <w:rFonts w:ascii="Calibri" w:eastAsia="Calibri" w:hAnsi="Calibri"/>
                <w:color w:val="242424"/>
                <w:sz w:val="18"/>
              </w:rPr>
              <w:t>cations, API services, background services/jobs, Docker images, database migrations, Keycloak configurations, environment-specific configuration files and infrastructure deployment artifacts.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Deployment approach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– Automated CI/CD through GitLab Enterprise;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Build → Test → SonarQube → Container Build → Container Registry → Environment Deployment. DEV deployments automated through GitLab pipelines and Docker Compose; QA/UAT deployments through controlled release pipelines; Production deployments through approv</w:t>
            </w:r>
            <w:r>
              <w:rPr>
                <w:rFonts w:ascii="Calibri" w:eastAsia="Calibri" w:hAnsi="Calibri"/>
                <w:color w:val="242424"/>
                <w:sz w:val="18"/>
              </w:rPr>
              <w:t>ed release process and deployment scripts.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Post-deploy checks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– Application health endpoints, service availability, database connectivity, migration validation, Redis connectivity, Keycloak authentication validation, downstream service dependencies, contai</w:t>
            </w:r>
            <w:r>
              <w:rPr>
                <w:rFonts w:ascii="Calibri" w:eastAsia="Calibri" w:hAnsi="Calibri"/>
                <w:color w:val="242424"/>
                <w:sz w:val="18"/>
              </w:rPr>
              <w:t>ner health status and infrastructure monitoring checks.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Rollback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– Retain stable container images and deployment artifacts; version-controlled deployment configurations; mandatory database rollback scripts for schema changes; Keycloak configuration backups</w:t>
            </w:r>
            <w:r>
              <w:rPr>
                <w:rFonts w:ascii="Calibri" w:eastAsia="Calibri" w:hAnsi="Calibri"/>
                <w:color w:val="242424"/>
                <w:sz w:val="18"/>
              </w:rPr>
              <w:t>; rapid rollback to previously approved application release.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Availability &amp; Downtime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– Low downtime tolerance for citizen-facing and department-facing services; deployment process to support quick rollback and minimal service interruption; production relea</w:t>
            </w:r>
            <w:r>
              <w:rPr>
                <w:rFonts w:ascii="Calibri" w:eastAsia="Calibri" w:hAnsi="Calibri"/>
                <w:color w:val="242424"/>
                <w:sz w:val="18"/>
              </w:rPr>
              <w:t>ses to follow controlled deployment and recovery procedures</w:t>
            </w:r>
          </w:p>
          <w:p w:rsidR="00FF2ED4" w:rsidRDefault="00FF2ED4">
            <w:pPr>
              <w:spacing w:after="40" w:line="240" w:lineRule="auto"/>
            </w:pPr>
          </w:p>
          <w:p w:rsidR="00FF2ED4" w:rsidRDefault="00FF2ED4">
            <w:pPr>
              <w:spacing w:after="40" w:line="240" w:lineRule="auto"/>
            </w:pP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1203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IS-15</w:t>
            </w:r>
          </w:p>
        </w:tc>
        <w:tc>
          <w:tcPr>
            <w:tcW w:w="216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Database and Migration</w:t>
            </w:r>
          </w:p>
        </w:tc>
        <w:tc>
          <w:tcPr>
            <w:tcW w:w="655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8"/>
              </w:rPr>
              <w:t>PostgreSQL across services with logical domain grouping (document, marriage, Digital e-Stamp, firm, etc.); read replicas for offload the transactions.</w:t>
            </w:r>
          </w:p>
          <w:p w:rsidR="00FF2ED4" w:rsidRDefault="00FF2ED4">
            <w:pPr>
              <w:spacing w:after="40" w:line="240" w:lineRule="auto"/>
            </w:pP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 xml:space="preserve">Schemas / </w:t>
            </w:r>
            <w:r>
              <w:rPr>
                <w:rFonts w:ascii="Calibri" w:eastAsia="Calibri" w:hAnsi="Calibri"/>
                <w:color w:val="242424"/>
                <w:sz w:val="18"/>
              </w:rPr>
              <w:t>DBs for registration, migration, MIS, analytics, backup, marriage, firm, Digital e-stamp</w:t>
            </w: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Kaveri-1 compatibility</w:t>
            </w:r>
            <w:r>
              <w:rPr>
                <w:rFonts w:ascii="Calibri" w:eastAsia="Calibri" w:hAnsi="Calibri"/>
                <w:color w:val="242424"/>
                <w:sz w:val="18"/>
              </w:rPr>
              <w:t xml:space="preserve"> – pending documents, EC/CC, firms, marriages</w:t>
            </w:r>
          </w:p>
          <w:p w:rsidR="00FF2ED4" w:rsidRDefault="00FF2ED4">
            <w:pPr>
              <w:spacing w:after="40" w:line="240" w:lineRule="auto"/>
            </w:pPr>
          </w:p>
          <w:p w:rsidR="00FF2ED4" w:rsidRDefault="00FF2ED4">
            <w:pPr>
              <w:spacing w:after="40" w:line="240" w:lineRule="auto"/>
            </w:pP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1203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IS-16</w:t>
            </w:r>
          </w:p>
        </w:tc>
        <w:tc>
          <w:tcPr>
            <w:tcW w:w="216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Observability, Monitoring &amp; Testing</w:t>
            </w:r>
          </w:p>
        </w:tc>
        <w:tc>
          <w:tcPr>
            <w:tcW w:w="655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8"/>
              </w:rPr>
              <w:t>Observability present across services and environments; monitor latency-sensitive workflows and peak concurrency.</w:t>
            </w:r>
          </w:p>
          <w:p w:rsidR="00FF2ED4" w:rsidRDefault="00FF2ED4">
            <w:pPr>
              <w:spacing w:after="40" w:line="240" w:lineRule="auto"/>
            </w:pP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Transaction scale awareness (Doc Reg / EC / CC volumes per Architecture).</w:t>
            </w:r>
          </w:p>
          <w:p w:rsidR="00FF2ED4" w:rsidRDefault="00FF2ED4">
            <w:pPr>
              <w:spacing w:after="40" w:line="240" w:lineRule="auto"/>
            </w:pP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>UAT / Prod release notes process under QA Files/Release_Notes.</w:t>
            </w:r>
          </w:p>
          <w:p w:rsidR="00FF2ED4" w:rsidRDefault="00FF2ED4">
            <w:pPr>
              <w:spacing w:after="40" w:line="240" w:lineRule="auto"/>
            </w:pPr>
          </w:p>
          <w:p w:rsidR="00FF2ED4" w:rsidRDefault="00FF2ED4">
            <w:pPr>
              <w:spacing w:after="40" w:line="240" w:lineRule="auto"/>
            </w:pP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1203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IS-17</w:t>
            </w:r>
          </w:p>
        </w:tc>
        <w:tc>
          <w:tcPr>
            <w:tcW w:w="216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AI</w:t>
            </w:r>
          </w:p>
        </w:tc>
        <w:tc>
          <w:tcPr>
            <w:tcW w:w="6555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 xml:space="preserve">AI capabilities for Kaveri 3.0 are not defined in the </w:t>
            </w:r>
          </w:p>
          <w:p w:rsidR="00FF2ED4" w:rsidRDefault="00FF2ED4">
            <w:pPr>
              <w:spacing w:after="40" w:line="240" w:lineRule="auto"/>
            </w:pPr>
          </w:p>
          <w:p w:rsidR="00FF2ED4" w:rsidRDefault="00D1289F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8"/>
              </w:rPr>
              <w:t xml:space="preserve">Any AI features (assistive drafting, classification, anomaly detection, etc.) </w:t>
            </w:r>
          </w:p>
          <w:p w:rsidR="00FF2ED4" w:rsidRDefault="00FF2ED4">
            <w:pPr>
              <w:spacing w:after="40" w:line="240" w:lineRule="auto"/>
            </w:pPr>
          </w:p>
          <w:p w:rsidR="00FF2ED4" w:rsidRDefault="00FF2ED4">
            <w:pPr>
              <w:spacing w:after="40" w:line="240" w:lineRule="auto"/>
            </w:pPr>
          </w:p>
        </w:tc>
      </w:tr>
    </w:tbl>
    <w:p w:rsidR="00926D9F" w:rsidRPr="00F06DA7" w:rsidRDefault="00926D9F" w:rsidP="00926D9F">
      <w:pPr>
        <w:shd w:val="clear" w:color="auto" w:fill="FFFFFF"/>
        <w:spacing w:before="320" w:line="240" w:lineRule="auto"/>
        <w:rPr>
          <w:rFonts w:ascii="Calibri" w:eastAsia="Times New Roman" w:hAnsi="Calibri" w:cs="Calibri"/>
          <w:color w:val="242424"/>
          <w:lang w:eastAsia="en-IN"/>
        </w:rPr>
      </w:pPr>
      <w:r>
        <w:rPr>
          <w:rFonts w:ascii="Calibri" w:eastAsia="Calibri" w:hAnsi="Calibri"/>
          <w:b/>
          <w:color w:val="1F4E79"/>
          <w:sz w:val="32"/>
        </w:rPr>
        <w:t>2. Key Stakeholders</w:t>
      </w:r>
    </w:p>
    <w:p w:rsidR="00926D9F" w:rsidRPr="00F06DA7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242424"/>
          <w:lang w:eastAsia="en-IN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1"/>
        <w:gridCol w:w="1814"/>
        <w:gridCol w:w="1927"/>
        <w:gridCol w:w="1814"/>
        <w:gridCol w:w="1757"/>
      </w:tblGrid>
      <w:tr w:rsidR="00926D9F" w:rsidRPr="00F06DA7" w:rsidTr="003A799F">
        <w:trPr>
          <w:tblHeader/>
          <w:jc w:val="center"/>
        </w:trPr>
        <w:tc>
          <w:tcPr>
            <w:tcW w:w="2041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Stakeholder / Group</w:t>
            </w:r>
          </w:p>
        </w:tc>
        <w:tc>
          <w:tcPr>
            <w:tcW w:w="1814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w="1927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Interest / impact</w:t>
            </w:r>
          </w:p>
        </w:tc>
        <w:tc>
          <w:tcPr>
            <w:tcW w:w="1814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Engagement method</w:t>
            </w:r>
          </w:p>
        </w:tc>
        <w:tc>
          <w:tcPr>
            <w:tcW w:w="1757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Decision authority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IGR &amp; Commissioner of Stamps / Steering Committee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head of Department of Stamps and Registration (DSR)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3F2829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statutory compliance, phase Go-Live readiness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checklist; escalations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3F2829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Scope change / phase Go-Live approval; residual risk acceptance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AIGR (Computers) &amp; Requirements Committee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Domain and requirements authority for Kaveri 3.0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3F2829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Correctness and completeness of Business Requirements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3F2829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Business Requirement workshops, daily requirement discussions with Kaveri IT Cell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BRD / domain sign-off; promote or defer scope items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KPMU / Application Admin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Programme Management Unit; system super-admin / IGR nominee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Delivery governance; designated creator roles; sanctioned posts and system-wide configuration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Steering nominee; admin / configuration workshops; UAT sign-off support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Designate creator roles; sanctioned-posts master; KPMU programme decisions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Product Owner (Kaveri IT Cell)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Product ownership for Kaveri 3.0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B90ECE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Roadmap, backlog, and stakeholder alignment within approved scope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B90ECE" w:rsidP="00B90ECE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review; backlog refinement;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B90ECE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Prioritisation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Project Manager (Kaveri IT Cell)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Programme / project delivery management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2420D1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Plan, milestones, risks, SLA Maintenance reporting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2420D1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Daily stand-ups; risk reviews; reporting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2420D1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Schedule and mitigation; release training, coordination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Domain Expert (Stamps &amp; Registration)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0FE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Department Subject Manager Expert for Acts, Rules, forms and fees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Legal fidelity of forms, fees, registers and process rules in software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Business Requirements workshops; design / UAT reviews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Domain acceptance of rules and forms implemented in Kaveri 3.0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Citizens / Applicants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Public end users of Kaveri portal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Self-service for Marriage, Document Registration, EC, CC, Firm, Digital e-Stamp and related services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B22349" w:rsidP="00B22349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Portal help; post go-live feedback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B22349" w:rsidP="00B22349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None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DSR Officers (SR / DEO / FDA / SDA / DRO / DIGR / AIGR / HQA)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Departmental operational users across SRO / DRO / IGRO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Scrutiny, registration, DEO upload, firm/DRO workflows, MIS, audit and appeals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UAT; training before each phase Go-Live; hypercare support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Operational decisions within statutory powers (admit / refuse / pending / etc.)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Other Department users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Officers / staff of government departments other than DSR with assigned Kaveri access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Controlled access to assigned modules (e.g. Income Tax, Banking, Govt. Lawyer, Revenue)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Admin-provisioned accounts; targeted UAT where modules are shared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None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EKYC – Aadhar Verification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Aadhaar e-KYC / identity verification partner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Citizen and party identity verification for registration and related services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authN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Khazane – Payment systems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Government payment gateway / treasury payment systems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Fee, stamp and registration payment capture and reconciliation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reconciliation reviews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Payment interface SLAs and change windows (jointly with DSR / Treasury)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DigiLocker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Document wallet / issued-document partner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Fetch / push of citizen documents and issued certificates where enabled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SMS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Transactional / OTP SMS provider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OTP, status and notification delivery to citizens and officers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delivery monitoring;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SMS provider SLAs and template/change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EMail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Transactional email provider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OTP (where used), receipts, certificates and status notifications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delivery monitoring;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Email provider SLAs and template/change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Kutumba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Kutumba family / household database integration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Family / household data exchange for eligible Kaveri services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Civil Registration System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Civil Registration System (birth / death / related) partner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Civil registration data exchange for marriage and related workflows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Labour Department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Labour Department systems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 xml:space="preserve">Labour-department data exchange where mandated </w:t>
            </w:r>
            <w:r>
              <w:rPr>
                <w:rFonts w:ascii="Calibri" w:eastAsia="Calibri" w:hAnsi="Calibri"/>
                <w:color w:val="242424"/>
                <w:sz w:val="16"/>
              </w:rPr>
              <w:lastRenderedPageBreak/>
              <w:t>for registration / verification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lastRenderedPageBreak/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 / Labour)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Sakala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Karnataka Guarantee of Services to Citizen platform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Service timelines, GSC issuance and statutory status sync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SLA reviews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Service-timeline 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e-Sign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Aadhaar-based eSign / digital signature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Citizen eSign and officer digital signature on certificates, deeds, EC/CC and related artefacts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signing-service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Eswathu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Rural property records system (eSwathu)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Rural property pull; mutation / eKhata push where applicable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mutation reconciliation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Property/mutation interface SLAs and change windows (jointly with DSR / RDPR)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Eaasthi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Urban property records system (eAasthi)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Urban property pull; mutation / eKhata push where applicable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mutation reconciliation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Property/mutation interface SLAs and change windows (jointly with DSR / ULB)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Passport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Passport verification / related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Passport data validation for eligible Kaveri identity / party flows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PAN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PAN verification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PAN validation for parties where mandated (including SFT-related use where approved)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Bhoomi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Agricultural land records system (Bhoomi)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Agri property pull; mutation push after registration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mutation reconciliation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Property/mutation interface SLAs and change windows (jointly with DSR / Revenue)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KSRSAC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Karnataka State Remote Sensing Applications Centre (GIS / map services)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Map / GIS layer support for valuation and related spatial flows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FRUITS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FRUITS agri mortgage / release filing system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Agri mortgage / release filing and related EC / notification exchange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Mogini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Mogini (survey / agri property) system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Survey / agri property data exchange alongside Bhoomi flows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 / Revenue)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Income Tax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Income Tax Department systems / access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Inter-department access and data exchange for Income Tax use cases on Kaveri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Admin provisioning; sandbox SIT where APIs apply;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/ access SLAs and change windows (jointly with DSR / ITD)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Kaveri IT Cell delivery &amp; ops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Architect, Tech Leads, BA, Full Stack, Integration, UI/UX, DBA, Migration, QA/Test, Perf/Security, DevOps, Security, BI, Content, Transition, L2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Design, build, migrate, test, deploy, observe and hypercare Kaveri 3.0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Architecture sync; release training; L2 hypercare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Technical design within NFR; release-readiness recommendation to committee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SDC / Infrastructure operations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State Data Centre hosting, network (incl. KSWAN for department UI) and WAF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4471B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Environments (Pre-Prod/Prod), capacity, connectivity and infra change windows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Ops coordination; deployment and rollback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Infra capacity, network and change-window approval</w:t>
            </w:r>
          </w:p>
        </w:tc>
      </w:tr>
    </w:tbl>
    <w:p w:rsidR="00D1289F" w:rsidRDefault="00D1289F"/>
    <w:sectPr w:rsidR="00D1289F">
      <w:pgSz w:w="11906" w:h="16838"/>
      <w:pgMar w:top="907" w:right="1020" w:bottom="907" w:left="10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56A0F"/>
    <w:multiLevelType w:val="multilevel"/>
    <w:tmpl w:val="3C7E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1595A"/>
    <w:multiLevelType w:val="multilevel"/>
    <w:tmpl w:val="1D16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75C0D"/>
    <w:multiLevelType w:val="multilevel"/>
    <w:tmpl w:val="73B6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72C12"/>
    <w:multiLevelType w:val="multilevel"/>
    <w:tmpl w:val="BE5C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D9F"/>
    <w:rsid w:val="00031631"/>
    <w:rsid w:val="00037B18"/>
    <w:rsid w:val="00152FF9"/>
    <w:rsid w:val="002420D1"/>
    <w:rsid w:val="00250807"/>
    <w:rsid w:val="002712B0"/>
    <w:rsid w:val="003443F5"/>
    <w:rsid w:val="003A799F"/>
    <w:rsid w:val="003C3D3A"/>
    <w:rsid w:val="003C3DB7"/>
    <w:rsid w:val="003F2829"/>
    <w:rsid w:val="004471BF"/>
    <w:rsid w:val="00551C26"/>
    <w:rsid w:val="00557DD9"/>
    <w:rsid w:val="00580BA2"/>
    <w:rsid w:val="00656580"/>
    <w:rsid w:val="006D0F54"/>
    <w:rsid w:val="00701ADC"/>
    <w:rsid w:val="00755E90"/>
    <w:rsid w:val="0084280E"/>
    <w:rsid w:val="00861E30"/>
    <w:rsid w:val="008C147C"/>
    <w:rsid w:val="009260FE"/>
    <w:rsid w:val="00926D9F"/>
    <w:rsid w:val="00A230D8"/>
    <w:rsid w:val="00A93664"/>
    <w:rsid w:val="00AF118F"/>
    <w:rsid w:val="00B22349"/>
    <w:rsid w:val="00B40563"/>
    <w:rsid w:val="00B70671"/>
    <w:rsid w:val="00B90ECE"/>
    <w:rsid w:val="00CB58BA"/>
    <w:rsid w:val="00D1289F"/>
    <w:rsid w:val="00D86C45"/>
    <w:rsid w:val="00E4441F"/>
    <w:rsid w:val="00F06DA7"/>
    <w:rsid w:val="00F14D12"/>
    <w:rsid w:val="00FC340C"/>
    <w:rsid w:val="00FF1B9B"/>
    <w:rsid w:val="00FF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40485"/>
  <w15:chartTrackingRefBased/>
  <w15:docId w15:val="{0A4BAF22-5BEF-41C5-9F1F-9C48A18D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normal">
    <w:name w:val="x_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ui-buttonicon">
    <w:name w:val="fui-button__icon"/>
    <w:basedOn w:val="DefaultParagraphFont"/>
    <w:rsid w:val="00926D9F"/>
  </w:style>
  <w:style w:type="paragraph" w:styleId="NormalWeb">
    <w:name w:val="Normal (Web)"/>
    <w:basedOn w:val="Normal"/>
    <w:uiPriority w:val="99"/>
    <w:semiHidden/>
    <w:unhideWhenUsed/>
    <w:rsid w:val="00271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2824</Words>
  <Characters>16103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2026-09-23T11:34:00Z</dcterms:created>
  <dcterms:modified xsi:type="dcterms:W3CDTF">2026-09-23T11:37:00Z</dcterms:modified>
</cp:coreProperties>
</file>