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D4" w:rsidRDefault="00D1289F">
      <w:pPr>
        <w:spacing w:after="40"/>
      </w:pPr>
      <w:r>
        <w:rPr>
          <w:rFonts w:ascii="Calibri" w:eastAsia="Calibri" w:hAnsi="Calibri"/>
          <w:b/>
          <w:color w:val="1F4E79"/>
          <w:sz w:val="40"/>
        </w:rPr>
        <w:t>Kaveri 3.0 — IT Project Scope</w:t>
      </w:r>
    </w:p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 xml:space="preserve">1. </w:t>
      </w:r>
      <w:proofErr w:type="gramStart"/>
      <w:r>
        <w:rPr>
          <w:rFonts w:ascii="Calibri" w:eastAsia="Calibri" w:hAnsi="Calibri"/>
          <w:b/>
          <w:color w:val="1F4E79"/>
          <w:sz w:val="32"/>
        </w:rPr>
        <w:t>In</w:t>
      </w:r>
      <w:proofErr w:type="gramEnd"/>
      <w:r>
        <w:rPr>
          <w:rFonts w:ascii="Calibri" w:eastAsia="Calibri" w:hAnsi="Calibri"/>
          <w:b/>
          <w:color w:val="1F4E79"/>
          <w:sz w:val="32"/>
        </w:rPr>
        <w:t xml:space="preserve">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684"/>
        <w:gridCol w:w="4571"/>
        <w:gridCol w:w="2706"/>
      </w:tblGrid>
      <w:tr w:rsidR="00926D9F" w:rsidRPr="00F06DA7" w:rsidTr="00B70671">
        <w:trPr>
          <w:trHeight w:val="300"/>
          <w:tblHeader/>
          <w:jc w:val="center"/>
        </w:trPr>
        <w:tc>
          <w:tcPr>
            <w:tcW w:w="90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158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Scope item</w:t>
            </w:r>
          </w:p>
        </w:tc>
        <w:tc>
          <w:tcPr>
            <w:tcW w:w="4309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Description / boundary</w:t>
            </w:r>
          </w:p>
        </w:tc>
        <w:tc>
          <w:tcPr>
            <w:tcW w:w="255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Actors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2 types of flows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Paper and Paperless.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ink-signed deed, physical presentation, scan &amp; store.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Paperless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digital execution (e-Sign / DSC), biometric e-KYC, digital endorsements.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Citizen pre-registration flow: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Type of Document (Sale, Mortgage, Lease,Partition, Gift, GPA, Will, etc.); Property Search (Bhoomi, e-Swathu, e-Aasthi, ULMS, etc); Property Schedule;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Market Valuation &amp; Fee Calculation ; Party Information; Document Summary; SRO Confirmation;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Payment; Appointment; Anywhere registration within sub-district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Department flow: allocation to DEO; biometrics; Aadhaar Authentication.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Register / Keep Pending / Withdraw / Refuse / Send back; Index I–II; J-slip to Bhoomi; scan &amp; digital sign.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Other Requirements : Re-registration on DR/Court order; K1/2 pending release; Will after death (Book 3); Book-I filings; exceptional cases (delay condonation, private attendance, undervaluation/impound, PoA, etc.);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Court Stay Order search &amp; display, Liability, Cross Reference, Sec. 68(2) Correction, Filing Document supporting modules.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(parties, witnesses, PoA holder)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 / SRO)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Registrar (DRO) — undervaluation, re-registration, adjudication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IGRO — appeal (where applicable)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Guideline / market value determination for stamp duty and registration fee.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Agricultural properties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GIS-based automated valuation via Bhoomi / KSRSAC attribute fetch;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Non-agricultural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extract from the masters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Citizen / SR ability to estimate Guidance Value, Stamp Duty and Registration Fee; Form-1 / schedule based valuation at SRO.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Article-based fee calculation integrated with Document Registration and Digital e-Stamp.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(estimate Guidance Value, SD, RF)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Form-1 / schedule valuation at SRO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CVC / DIGR CVC (where CVC / GIS valuation workflows apply)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EC shows registered transactions over a property (Form 22 application; Form 15 / nil Form 16).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property parameters (district / taluk / hobli / village / survey / property no. / extent / boundaries);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Kaveri-1/2 EC retrieval via Kaveri-1/2 integration.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application → payment → digitally signed EC (SDA / FDA / SR digital sign chain (digital signatures at multiple stages)).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Offline / department path at SRO; Index-II based generation.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EC printed as part of Document Registration completion (Form 15).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digital sign chain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 (offline / department path at SRO,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Digitally signed copy of registered scanned document (Book-1 and related book types; Marriage / Marriage Notice as applicable, Firms).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 by Document details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Document Type, District, SRO, Book Type (Book-1 parts, Rule 17(2)/(3), etc.), Document Number, Year.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Online application → stamp duty payment (Sec. 10A / Appendix BA) → SDA / FDA / SR digital sign → citizen download.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Suo Moto CC (Book-3 / Book-4): citizen presents original at SRO; department CC search without citizen self-service for classified books;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SDA prepare &amp; sign → FDA verify → SR approve &amp; sign → print &amp; deliver; payment mode same as Suo Moto EC.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Boundary: EC is IS-05. Firm Form-C / register extracts also available under Firm module (IS-07).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Citizen / Applicant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approve &amp; sign / digital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DEO (Suo Moto / counter path,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IS-07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Services: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New Firm Registration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Amendment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firm name / principal place; other places of business; partner name / address; notice of election on attaining majority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Reconstitution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incoming / outgoing partner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Dissolution of Firm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Protest/Dispute Entry; Index Search; Certified Copy of Register of Firms entries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and Offline at DRO; approval by District Registrar.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Two-step: partnership / reconstitution / dissolution deed at SRO then firm filing at DRO (Indian Partnership Act, 1932).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Name uniqueness / objectionable names (Emblems and Names Act); fee, Form C, Register of Firms &amp; Index; DigiLocker e-Sign; SAKALA; Aadhaar dependency; K1/2→K3 firm migration.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/ Partners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(SRO) — partnership / reconstitution / dissolution deed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Registrar (DRO) — firm filing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 (DRO office support,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IS-08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 e-Stamp for optionally registrable articles (stamp duty payable; registration under Registration Act not compulsory).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Citizen applies on Kaveri 3.0; stamp duty calculated from article / property / location; pay via UPI / net banking / cards;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Instant unique Digital e-Stamp certificate; download digitally signed e-Stamp from dashboard.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IS-10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Audit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DR / IGR / Regional Committee / HQA / Deputy Commissioner inspections.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External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Auditor General / AG office annual inspection; Local Audit Report; Audit Para query &amp; response.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AG / auditor login creation by office head (SR / DR / ); AG email + ID card; period-based fetch of registered documents;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Request to view document details → office head approval → digitally accessible audit trail instead of manual consolidation.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Office head (SR / DR) — AG login creation &amp; document-view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DR / IGR / Regional Committee / HQA / Deputy Commissioner — internal audit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Auditor General / AG auditor — external audit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IS-11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Kaveri 3.0 shall connect to send/receive data with the following external systems (as deployed / available):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 w:rsidR="00C43098" w:rsidRDefault="00406B78">
            <w:pPr>
              <w:spacing w:after="40" w:line="240" w:lineRule="auto"/>
            </w:pPr>
            <w:proofErr w:type="spellStart"/>
            <w:r>
              <w:rPr>
                <w:rFonts w:ascii="Calibri" w:eastAsia="Calibri" w:hAnsi="Calibri"/>
                <w:b/>
                <w:color w:val="1F4E79"/>
                <w:sz w:val="16"/>
              </w:rPr>
              <w:t>Kha</w:t>
            </w:r>
            <w:r w:rsidR="00DE3961">
              <w:rPr>
                <w:rFonts w:ascii="Calibri" w:eastAsia="Calibri" w:hAnsi="Calibri"/>
                <w:b/>
                <w:color w:val="1F4E79"/>
                <w:sz w:val="16"/>
              </w:rPr>
              <w:t>j</w:t>
            </w:r>
            <w:r>
              <w:rPr>
                <w:rFonts w:ascii="Calibri" w:eastAsia="Calibri" w:hAnsi="Calibri"/>
                <w:b/>
                <w:color w:val="1F4E79"/>
                <w:sz w:val="16"/>
              </w:rPr>
              <w:t>ane</w:t>
            </w:r>
            <w:proofErr w:type="spellEnd"/>
            <w:r>
              <w:rPr>
                <w:rFonts w:ascii="Calibri" w:eastAsia="Calibri" w:hAnsi="Calibri"/>
                <w:color w:val="242424"/>
                <w:sz w:val="16"/>
              </w:rPr>
              <w:t xml:space="preserve"> – Payment systems — Government payment gateway for collection and reconciliation of stamp duty, registration fees and other statutory payments.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Fetch / push of citizen documents and issued certificates (where enabled) via DigiLocker APIs.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SMS for OTP, application status, appointment and certificate / receipt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email for OTP (where used), receipts, certificates and status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Kutumba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System —civil-registration data exchange for marriage and linked workflows.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Labour Department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 to avail benefits.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Guarantee of Services to Citizen: GSC issuance, service timelines and statutory status sync.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e-Sign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Aadhaar-based electronic signature for citizens on applications, deeds, certificates, EC/CC and related artefacts.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Rural non-agricultural property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Urban property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Passport number / details validation for party identity where Passport is selected as proof of identity.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Real-time PAN authentication for parties (including mandatory checks when market / consideration value thresholds apply; Form 60/61 where PAN is unavailable).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land records: property schedule pull and mutation intimation /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State Remote Sensing Applications Centre: GIS / map layers for valuation and spatial property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mortgage / release filing integration and related EC / notification exchange with FRUITS.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Mogini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Survey / agri property data exchange alongside Bhoomi for property identification and mutation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Inter-department access and data exchange for Income Tax Department use cases on Kaveri (Other Department users / approved APIs).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P.S.: External systems are owned by respective agencies; Kaveri integrates via SOAP/REST APIs / scheduled jobs.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Citizen / Applicant (consuming integrated services)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DSR Officers (SR / DEO / FDA / SDA / DRO / IGR as per module)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Other Department users (e.g. Income Tax)</w:t>
            </w:r>
          </w:p>
          <w:p w:rsidR="00C43098" w:rsidRDefault="00406B78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External system owners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IS-12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status tracking, download certificates / e-Stamp / EC / CC.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Department dashboards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SR / DR / IGR worklists (scrutiny, registration, EC/CC approval, firm, audit requests).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MIS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registrations by article / book / office; revenue by mode/channel; pending / refused / withdrawn / undervaluation;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Marriage / Firm statistics; SLA / Sakala oriented views; bilingual labels where required.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Scheduled / batch jobs for reconciliation and reporting (Architecture).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The Kaveri 3.0 solution shall provide a centralized Business Intelligence, MIS and analytical reporting capability using Microsoft Power BI for public transparency, departmental performance analysis, statutory reporting, executive decision support and administrative monitoring.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— status &amp; downloads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SR / DR / IGR — worklists &amp; MIS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AIGR / Admin — executive / statutory dashboards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BI / Analytics (Kaveri IT Cell) — Power BI packs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HTTPS enforced for all citizen and department web / API traffic (TLS end-to-end to the edge).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SSL / TLS certificates managed for public and internal endpoints; reverse proxy performs SSL offloading where deployed.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Reverse proxy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SSL offloading, rate limiting, bot blocking, load balancing.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API Gateway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authN/Z on every request, IP/route rate limits, Redis session,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Quality &amp; Security Gates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Unit Testing, SonarQube Quality Gates, SAST, Dependency Scanning, Container Image Scanning (Trivy), DAST/Security Validation for higher environments.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RBAC via User Management; department interface only on KSWAN.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Digital signatures (e-Sign/DSC) on registered documents, EC, CC, e-Stamp, firm certificates.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Reduced attack surface by not exposing internal microservices directly (API Gateway pattern).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Application Admin / KPMU — RBAC &amp; access policy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Security Specialist (Kaveri IT Cell)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IS-14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DevOps &amp; Platform: GitLab Enterprise, GitLab Runner, GitLab Container Registry, Docker, Docker Compose, SonarQube, Gitlab contianer scanning/Trivy (Container Security Scanning), OWASP ZAP/DAST (future phase).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Environments: Development (On-Prem) → DEV (On-Prem) → QA (On-Prem) → UAT/Pre-Prod (Onprime/SDC) → Production (SDC).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units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Angular UI applications, API services, background services/jobs, Docker images, database migrations, Keycloak configurations, environment-specific configuration files and infrastructure deployment artifacts.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approach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Automated CI/CD through GitLab Enterprise; Build → Test → SonarQube → Container Build → Container Registry → Environment Deployment. DEV deployments automated through GitLab pipelines and Docker Compose; QA/UAT deployments through controlled release pipelines; Production deployments through approved release process and deployment scripts.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Post-deploy checks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health endpoints, service availability, database connectivity, migration validation, Redis connectivity, Keycloak authentication validation, downstream service dependencies, container health status and infrastructure monitoring checks.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Rollback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Retain stable container images and deployment artifacts; version-controlled deployment configurations; mandatory database rollback scripts for schema changes; Keycloak configuration backups; rapid rollback to previously approved application release.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Availability &amp; Downtime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Kaveri IT Cell delivery team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PostgreSQL across services with logical domain grouping (document, marriage, Digital e-Stamp, firm, etc.); read replicas for offload the transactions.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Schemas / DBs for registration, migration, MIS, analytics, backup, marriage, firm, Digital e-stamp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Kaveri-1 compatibility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pending documents, EC/CC, firms, marriages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Database Administrator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Data Migration Specialist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Domain Expert (cutover / reconciliation sign-off)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Product Owner / Steering (freeze &amp; Go-Live cutover)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Observability present across services and environments; monitor latency-sensitive workflows and peak concurrency.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scale awareness (Doc Reg / EC / CC volumes per 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UAT / Prod release notes process under QA Files/Release_Notes.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QA / Test Engineers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Performance &amp; Security Test Lead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(observability stack)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L2 Support (hypercare monitoring)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AI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AI capabilities for Kaveri 3.0 are not defined in the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Any AI features (assistive drafting, classification, anomaly detection, etc.)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Not applicable — AI scope not defined; actors TBD when requirements are approved</w:t>
            </w:r>
          </w:p>
        </w:tc>
      </w:tr>
    </w:tbl>
    <w:p w:rsidR="00926D9F" w:rsidRPr="00F06DA7" w:rsidRDefault="00926D9F" w:rsidP="00926D9F">
      <w:pPr>
        <w:shd w:val="clear" w:color="auto" w:fill="FFFFFF"/>
        <w:spacing w:before="320" w:line="240" w:lineRule="auto"/>
        <w:rPr>
          <w:rFonts w:ascii="Calibri" w:eastAsia="Times New Roman" w:hAnsi="Calibri" w:cs="Calibri"/>
          <w:color w:val="242424"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927"/>
        <w:gridCol w:w="1814"/>
        <w:gridCol w:w="1757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90ECE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0FE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Advocate / Deed Writers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Legal practitioners and deed writers facilitating citizen registration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Accurate deed drafting, party guidance and presentation support for Document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Workshops / circulars; portal guidance; UAT sampling where workflows touch facilitators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820B8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Labour-department data exchange where mandated 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ULMS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land / property management system (non-eAasthi urban properties)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 pull and mutation support for urban properties not covered by 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406B78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proofErr w:type="spellStart"/>
            <w:r>
              <w:rPr>
                <w:rFonts w:ascii="Calibri" w:eastAsia="Calibri" w:hAnsi="Calibri"/>
                <w:b/>
                <w:color w:val="1F4E79"/>
                <w:sz w:val="16"/>
              </w:rPr>
              <w:t>Moj</w:t>
            </w:r>
            <w:r w:rsidR="00926D9F">
              <w:rPr>
                <w:rFonts w:ascii="Calibri" w:eastAsia="Calibri" w:hAnsi="Calibri"/>
                <w:b/>
                <w:color w:val="1F4E79"/>
                <w:sz w:val="16"/>
              </w:rPr>
              <w:t>ini</w:t>
            </w:r>
            <w:proofErr w:type="spellEnd"/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06B78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Mo</w:t>
            </w:r>
            <w:r w:rsidR="00406B78">
              <w:rPr>
                <w:rFonts w:ascii="Calibri" w:eastAsia="Calibri" w:hAnsi="Calibri"/>
                <w:color w:val="242424"/>
                <w:sz w:val="16"/>
              </w:rPr>
              <w:t>j</w:t>
            </w:r>
            <w:r>
              <w:rPr>
                <w:rFonts w:ascii="Calibri" w:eastAsia="Calibri" w:hAnsi="Calibri"/>
                <w:color w:val="242424"/>
                <w:sz w:val="16"/>
              </w:rPr>
              <w:t>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NIC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National Informatics Centre — custodian / partner for eSwathu, eAasthi and related state platforms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Availability and change control of NIC-hosted property and citizen platforms used by Kaveri integrations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Integration war-rooms; change windows; joint SIT with RDPR / UDD / DSR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NIC platform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CSG (Kaveri 2.0)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Centre for Smart Governance — legacy Kaveri 2.0 design, FRS and operational knowledge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As-is behaviour, FRS / design baseline, KT for migration and parity with Kaveri 2.0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KT sessions; FRS clarification workshops; migration dual-run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 on Kaveri 3.0 product decisions (advisory / handover)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CEG (Centre for e-Governance)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Centre for e-Governance — Aadhaar e-KYC, e-Sign, DigiLocker, FRUITS, Sakala, ULMS and related e-Gov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Reliable statewide e-Gov platform services consumed by Kaveri 3.0 integrations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Integration war-rooms; sandbox SIT; SLA / change-window coordination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e-Gov platform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CMS (System Integrator for Kaveri 2.0)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Current system integrator and O&amp;M partner for Kaveri 2.0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Production as-is support, data extracts, dual-run and cutover coordination during Kaveri 3.0 transition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KT / war-rooms; migration freeze windows; hypercare handoff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 on Kaveri 3.0 build decisions (transition support within agreed SI scope)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 Call Center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/ department helpdesk for Kaveri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First-line support, ticket triage and citizen guidance across modules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SOP / training before each phase Go-Live; L1–L2 handoff; hypercare staffing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F63EA4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  <w:r w:rsidR="00F63EA4">
              <w:rPr>
                <w:rFonts w:ascii="Calibri" w:eastAsia="Calibri" w:hAnsi="Calibri"/>
                <w:color w:val="242424"/>
                <w:sz w:val="16"/>
              </w:rPr>
              <w:t xml:space="preserve"> </w:t>
            </w:r>
            <w:bookmarkStart w:id="0" w:name="_GoBack"/>
            <w:bookmarkEnd w:id="0"/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Infra capacity, network and change-window approval</w:t>
            </w:r>
          </w:p>
        </w:tc>
      </w:tr>
    </w:tbl>
    <w:p w:rsidR="00D1289F" w:rsidRDefault="00D1289F"/>
    <w:sectPr w:rsidR="00D1289F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C3DB7"/>
    <w:rsid w:val="003F2829"/>
    <w:rsid w:val="00406B78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61E30"/>
    <w:rsid w:val="008C147C"/>
    <w:rsid w:val="009260FE"/>
    <w:rsid w:val="00926D9F"/>
    <w:rsid w:val="00997F17"/>
    <w:rsid w:val="00A230D8"/>
    <w:rsid w:val="00A93664"/>
    <w:rsid w:val="00AF118F"/>
    <w:rsid w:val="00B22349"/>
    <w:rsid w:val="00B40563"/>
    <w:rsid w:val="00B70671"/>
    <w:rsid w:val="00B820B8"/>
    <w:rsid w:val="00B90ECE"/>
    <w:rsid w:val="00BF3835"/>
    <w:rsid w:val="00C43098"/>
    <w:rsid w:val="00CB58BA"/>
    <w:rsid w:val="00D1289F"/>
    <w:rsid w:val="00D86C45"/>
    <w:rsid w:val="00DE3961"/>
    <w:rsid w:val="00E4441F"/>
    <w:rsid w:val="00F06DA7"/>
    <w:rsid w:val="00F14D12"/>
    <w:rsid w:val="00F63EA4"/>
    <w:rsid w:val="00FC340C"/>
    <w:rsid w:val="00FF1B9B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DADC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3437</Words>
  <Characters>19595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2026-09-23T11:34:00Z</dcterms:created>
  <dcterms:modified xsi:type="dcterms:W3CDTF">2026-09-23T11:52:00Z</dcterms:modified>
</cp:coreProperties>
</file>