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F64" w:rsidRDefault="00E1741C">
      <w:pPr>
        <w:pStyle w:val="Heading1"/>
      </w:pPr>
      <w:r>
        <w:rPr>
          <w:color w:val="1F4E79"/>
        </w:rPr>
        <w:t>1</w:t>
      </w:r>
      <w:r w:rsidR="00504D45">
        <w:rPr>
          <w:color w:val="1F4E79"/>
        </w:rPr>
        <w:t>. Availability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§13.1 — service uptime, maintenance, outage communication, HA.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459"/>
        <w:gridCol w:w="1460"/>
        <w:gridCol w:w="1459"/>
        <w:gridCol w:w="1461"/>
        <w:gridCol w:w="1459"/>
        <w:gridCol w:w="1458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NFR-HMA-AVA-001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monthly / annual availability % is required for citizen portal and SRO desk (excluding approved maintenance)?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Options: 99.0% / 99.5% / 99.9% / Other: ___%. Confirm if Marriage follows platform SLA.</w:t>
            </w:r>
          </w:p>
        </w:tc>
        <w:tc>
          <w:tcPr>
            <w:tcW w:w="1461" w:type="dxa"/>
          </w:tcPr>
          <w:p w:rsidR="00740F64" w:rsidRDefault="00686DC0">
            <w:pPr>
              <w:spacing w:before="40" w:after="40"/>
            </w:pPr>
            <w:r>
              <w:t>99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NFR-HMA-AVA-002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are the allowed planned maintenance windows (day, IST time band, max duration) and minimum citizen/SRO notice period?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Sunday 02:00–06:00 IST; notice ≥72 hours.</w:t>
            </w:r>
          </w:p>
        </w:tc>
        <w:tc>
          <w:tcPr>
            <w:tcW w:w="1461" w:type="dxa"/>
            <w:shd w:val="clear" w:color="auto" w:fill="F2F2F2"/>
          </w:tcPr>
          <w:p w:rsidR="00740F64" w:rsidRDefault="00686DC0">
            <w:pPr>
              <w:spacing w:before="40" w:after="40"/>
            </w:pPr>
            <w:r>
              <w:t>Every month 2</w:t>
            </w:r>
            <w:r w:rsidRPr="00686DC0">
              <w:rPr>
                <w:vertAlign w:val="superscript"/>
              </w:rPr>
              <w:t>nd</w:t>
            </w:r>
            <w:r>
              <w:t xml:space="preserve"> Saturday &amp; Sunday  or 4</w:t>
            </w:r>
            <w:r w:rsidRPr="00686DC0">
              <w:rPr>
                <w:vertAlign w:val="superscript"/>
              </w:rPr>
              <w:t>th</w:t>
            </w:r>
            <w:r>
              <w:t xml:space="preserve"> Saturday &amp; Sunday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NFR-HMA-AVA-003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How must unplanned outages be communicated (status page, SMS to SROs, email, WhatsApp group, helpdesk)? Who owns the RACI?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Name channels + primary owner.</w:t>
            </w:r>
          </w:p>
        </w:tc>
        <w:tc>
          <w:tcPr>
            <w:tcW w:w="1461" w:type="dxa"/>
          </w:tcPr>
          <w:p w:rsidR="00740F64" w:rsidRDefault="00686DC0">
            <w:pPr>
              <w:spacing w:before="40" w:after="40"/>
            </w:pPr>
            <w:r>
              <w:t>Email All SR/DR/IGR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NFR-HMA-AVA-004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Is high availability required as active-active or active-passive for app, API and database? Any Karnataka SDC mandate?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Cite SDC / hosting standard if known.</w:t>
            </w:r>
          </w:p>
        </w:tc>
        <w:tc>
          <w:tcPr>
            <w:tcW w:w="1461" w:type="dxa"/>
            <w:shd w:val="clear" w:color="auto" w:fill="F2F2F2"/>
          </w:tcPr>
          <w:p w:rsidR="00740F64" w:rsidRDefault="00686DC0">
            <w:pPr>
              <w:spacing w:before="40" w:after="40"/>
            </w:pPr>
            <w:r>
              <w:t>Required like AOAG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NFR-OP-01</w:t>
            </w:r>
          </w:p>
        </w:tc>
        <w:tc>
          <w:tcPr>
            <w:tcW w:w="1461" w:type="dxa"/>
          </w:tcPr>
          <w:p w:rsidR="00740F64" w:rsidRPr="0080460E" w:rsidRDefault="00504D45">
            <w:pPr>
              <w:spacing w:before="40" w:after="40"/>
              <w:rPr>
                <w:strike/>
              </w:rPr>
            </w:pPr>
            <w:r w:rsidRPr="0080460E">
              <w:rPr>
                <w:rFonts w:ascii="Calibri" w:hAnsi="Calibri"/>
                <w:strike/>
                <w:sz w:val="16"/>
              </w:rPr>
              <w:t>Is there a separate availability target for peak seasons (e.g. auspicious marriage months</w:t>
            </w:r>
            <w:r w:rsidR="00154194">
              <w:rPr>
                <w:rFonts w:ascii="Calibri" w:hAnsi="Calibri"/>
                <w:strike/>
                <w:sz w:val="16"/>
              </w:rPr>
              <w:t>, auspicious day for property registration</w:t>
            </w:r>
            <w:r w:rsidRPr="0080460E">
              <w:rPr>
                <w:rFonts w:ascii="Calibri" w:hAnsi="Calibri"/>
                <w:strike/>
                <w:sz w:val="16"/>
              </w:rPr>
              <w:t>) vs normal months?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(specify) / No — same target year-round.</w:t>
            </w:r>
          </w:p>
        </w:tc>
        <w:tc>
          <w:tcPr>
            <w:tcW w:w="1461" w:type="dxa"/>
          </w:tcPr>
          <w:p w:rsidR="00740F64" w:rsidRDefault="009215C2">
            <w:pPr>
              <w:spacing w:before="40" w:after="40"/>
            </w:pPr>
            <w:r>
              <w:t>10:30 to 5:30 PM heavy load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E1741C">
      <w:pPr>
        <w:pStyle w:val="Heading1"/>
      </w:pPr>
      <w:r>
        <w:rPr>
          <w:color w:val="1F4E79"/>
        </w:rPr>
        <w:t>2</w:t>
      </w:r>
      <w:r w:rsidR="00504D45">
        <w:rPr>
          <w:color w:val="1F4E79"/>
        </w:rPr>
        <w:t>. Performance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§13.2 — latency, concurrency, volumes, eSign/print/DEO/appointment.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459"/>
        <w:gridCol w:w="1460"/>
        <w:gridCol w:w="1460"/>
        <w:gridCol w:w="1460"/>
        <w:gridCol w:w="1459"/>
        <w:gridCol w:w="1458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NFR-HMA-PERF-001</w:t>
            </w:r>
          </w:p>
        </w:tc>
        <w:tc>
          <w:tcPr>
            <w:tcW w:w="1461" w:type="dxa"/>
          </w:tcPr>
          <w:p w:rsidR="00740F64" w:rsidRDefault="00504D45" w:rsidP="0080460E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What </w:t>
            </w:r>
            <w:r w:rsidR="0080460E">
              <w:rPr>
                <w:rFonts w:ascii="Calibri" w:hAnsi="Calibri"/>
                <w:sz w:val="16"/>
              </w:rPr>
              <w:t>page</w:t>
            </w:r>
            <w:r>
              <w:rPr>
                <w:rFonts w:ascii="Calibri" w:hAnsi="Calibri"/>
                <w:sz w:val="16"/>
              </w:rPr>
              <w:t xml:space="preserve"> response-time targets (seconds) apply to: page browse, application submit, SRO </w:t>
            </w:r>
            <w:r>
              <w:rPr>
                <w:rFonts w:ascii="Calibri" w:hAnsi="Calibri"/>
                <w:sz w:val="16"/>
              </w:rPr>
              <w:lastRenderedPageBreak/>
              <w:t>scrutiny save, certificate PDF generation?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>Suggested defaults to confirm/reject: browse ≤2s; submit ≤3s; PDF ≤5s.</w:t>
            </w:r>
          </w:p>
        </w:tc>
        <w:tc>
          <w:tcPr>
            <w:tcW w:w="1461" w:type="dxa"/>
          </w:tcPr>
          <w:p w:rsidR="00740F64" w:rsidRDefault="005767E0">
            <w:pPr>
              <w:spacing w:before="40" w:after="40"/>
            </w:pPr>
            <w:r>
              <w:t xml:space="preserve">All services </w:t>
            </w:r>
            <w:r w:rsidRPr="005767E0">
              <w:t>≤</w:t>
            </w:r>
            <w:r>
              <w:t>5s</w:t>
            </w:r>
            <w:bookmarkStart w:id="0" w:name="_GoBack"/>
            <w:bookmarkEnd w:id="0"/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peak co</w:t>
            </w:r>
            <w:r w:rsidR="005767E0">
              <w:rPr>
                <w:rFonts w:ascii="Calibri" w:hAnsi="Calibri"/>
                <w:sz w:val="16"/>
              </w:rPr>
              <w:t>ncurrent users must the All</w:t>
            </w:r>
            <w:r>
              <w:rPr>
                <w:rFonts w:ascii="Calibri" w:hAnsi="Calibri"/>
                <w:sz w:val="16"/>
              </w:rPr>
              <w:t xml:space="preserve"> module</w:t>
            </w:r>
            <w:r w:rsidR="005767E0">
              <w:rPr>
                <w:rFonts w:ascii="Calibri" w:hAnsi="Calibri"/>
                <w:sz w:val="16"/>
              </w:rPr>
              <w:t>s</w:t>
            </w:r>
            <w:r>
              <w:rPr>
                <w:rFonts w:ascii="Calibri" w:hAnsi="Calibri"/>
                <w:sz w:val="16"/>
              </w:rPr>
              <w:t xml:space="preserve"> support (citizen + SRO combined)? What share of overall Kaveri 3.0 concurrency is Marriage expected to consume?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Programme reference often ≥10,000 concurrent platform-wide — confirm module share.</w:t>
            </w:r>
          </w:p>
        </w:tc>
        <w:tc>
          <w:tcPr>
            <w:tcW w:w="1461" w:type="dxa"/>
            <w:shd w:val="clear" w:color="auto" w:fill="F2F2F2"/>
          </w:tcPr>
          <w:p w:rsidR="00740F64" w:rsidRDefault="005767E0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are expected peak volumes for applications submitted, payments completed, and certificates issued (per hour and per day)? Provide Kaveri 2.0 baseline if available.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Attach MIS extract or approximate numbers.</w:t>
            </w:r>
          </w:p>
        </w:tc>
        <w:tc>
          <w:tcPr>
            <w:tcW w:w="1461" w:type="dxa"/>
          </w:tcPr>
          <w:p w:rsidR="00740F64" w:rsidRDefault="00253417">
            <w:pPr>
              <w:spacing w:before="40" w:after="40"/>
            </w:pPr>
            <w:r>
              <w:t>TBD</w:t>
            </w:r>
          </w:p>
          <w:p w:rsidR="00253417" w:rsidRDefault="00253417">
            <w:pPr>
              <w:spacing w:before="40" w:after="40"/>
            </w:pPr>
            <w:r>
              <w:t>Get number of documents service wise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NFR-HMA-PERF-004</w:t>
            </w:r>
          </w:p>
        </w:tc>
        <w:tc>
          <w:tcPr>
            <w:tcW w:w="1461" w:type="dxa"/>
            <w:shd w:val="clear" w:color="auto" w:fill="F2F2F2"/>
          </w:tcPr>
          <w:p w:rsidR="00740F64" w:rsidRPr="00253417" w:rsidRDefault="00504D45">
            <w:pPr>
              <w:spacing w:before="40" w:after="40"/>
              <w:rPr>
                <w:strike/>
              </w:rPr>
            </w:pPr>
            <w:r w:rsidRPr="00253417">
              <w:rPr>
                <w:rFonts w:ascii="Calibri" w:hAnsi="Calibri"/>
                <w:strike/>
                <w:sz w:val="16"/>
              </w:rPr>
              <w:t>By which calendar day/time each month must Form III (monthly duplicate bundle to Registrar-General) complete?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proofErr w:type="gramStart"/>
            <w:r>
              <w:rPr>
                <w:rFonts w:ascii="Calibri" w:hAnsi="Calibri"/>
                <w:sz w:val="16"/>
              </w:rPr>
              <w:t>e.g</w:t>
            </w:r>
            <w:proofErr w:type="gramEnd"/>
            <w:r>
              <w:rPr>
                <w:rFonts w:ascii="Calibri" w:hAnsi="Calibri"/>
                <w:sz w:val="16"/>
              </w:rPr>
              <w:t>. by 05th of month 06:00 IST + buffer.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Is a formal performance / load-test gate mandatory before go-live? Who signs off pass/fail criteria?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No; name Perf Lead / PO.</w:t>
            </w:r>
          </w:p>
        </w:tc>
        <w:tc>
          <w:tcPr>
            <w:tcW w:w="1461" w:type="dxa"/>
          </w:tcPr>
          <w:p w:rsidR="00740F64" w:rsidRDefault="00253417">
            <w:pPr>
              <w:spacing w:before="40" w:after="40"/>
            </w:pPr>
            <w:r>
              <w:t>Yes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maximum eSign round-trip time and timeout/retry behaviour is acceptable when the eSign provider is slow or unavailable?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≤30s target; graceful retry; offline channel fallback message.</w:t>
            </w:r>
          </w:p>
        </w:tc>
        <w:tc>
          <w:tcPr>
            <w:tcW w:w="1461" w:type="dxa"/>
            <w:shd w:val="clear" w:color="auto" w:fill="F2F2F2"/>
          </w:tcPr>
          <w:p w:rsidR="00740F64" w:rsidRDefault="00253417">
            <w:pPr>
              <w:spacing w:before="40" w:after="40"/>
            </w:pPr>
            <w:r w:rsidRPr="00253417">
              <w:t>≤30s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NFR-HMA-PERF-007</w:t>
            </w:r>
          </w:p>
        </w:tc>
        <w:tc>
          <w:tcPr>
            <w:tcW w:w="1461" w:type="dxa"/>
          </w:tcPr>
          <w:p w:rsidR="00740F64" w:rsidRPr="005B2CF1" w:rsidRDefault="00504D45">
            <w:pPr>
              <w:spacing w:before="40" w:after="40"/>
              <w:rPr>
                <w:strike/>
              </w:rPr>
            </w:pPr>
            <w:r w:rsidRPr="005B2CF1">
              <w:rPr>
                <w:rFonts w:ascii="Calibri" w:hAnsi="Calibri"/>
                <w:strike/>
                <w:sz w:val="16"/>
              </w:rPr>
              <w:t>What maximum time is acceptable to generate bilingual (Kannada + English) printouts of Form I, II and 1A?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≤10s.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At peak counter hours, what DEO scan-upload throughput is required per office (files/hour) and what is the max file size / page count per upload?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files/hr; max MB; PDF/JPG allowed.</w:t>
            </w:r>
          </w:p>
        </w:tc>
        <w:tc>
          <w:tcPr>
            <w:tcW w:w="1461" w:type="dxa"/>
            <w:shd w:val="clear" w:color="auto" w:fill="F2F2F2"/>
          </w:tcPr>
          <w:p w:rsidR="00740F64" w:rsidRDefault="005B2CF1">
            <w:pPr>
              <w:spacing w:before="40" w:after="40"/>
            </w:pPr>
            <w:r>
              <w:t>Per page 200 KB, PDF, 200 dpi, black and white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lastRenderedPageBreak/>
              <w:t>P-09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NFR-HMA-PERF-009</w:t>
            </w:r>
          </w:p>
        </w:tc>
        <w:tc>
          <w:tcPr>
            <w:tcW w:w="1461" w:type="dxa"/>
          </w:tcPr>
          <w:p w:rsidR="00740F64" w:rsidRPr="005B2CF1" w:rsidRDefault="00504D45">
            <w:pPr>
              <w:spacing w:before="40" w:after="40"/>
              <w:rPr>
                <w:strike/>
              </w:rPr>
            </w:pPr>
            <w:r w:rsidRPr="005B2CF1">
              <w:rPr>
                <w:rFonts w:ascii="Calibri" w:hAnsi="Calibri"/>
                <w:strike/>
                <w:sz w:val="16"/>
              </w:rPr>
              <w:t>What response time is required for appointment slot search and booking under contention, and is double-booking strictly prohibited?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≤2s; no double-booking.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NFR-OP-12</w:t>
            </w:r>
          </w:p>
        </w:tc>
        <w:tc>
          <w:tcPr>
            <w:tcW w:w="1461" w:type="dxa"/>
            <w:shd w:val="clear" w:color="auto" w:fill="F2F2F2"/>
          </w:tcPr>
          <w:p w:rsidR="00740F64" w:rsidRPr="005B2CF1" w:rsidRDefault="00504D45">
            <w:pPr>
              <w:spacing w:before="40" w:after="40"/>
              <w:rPr>
                <w:strike/>
              </w:rPr>
            </w:pPr>
            <w:r w:rsidRPr="005B2CF1">
              <w:rPr>
                <w:rFonts w:ascii="Calibri" w:hAnsi="Calibri"/>
                <w:strike/>
                <w:sz w:val="16"/>
              </w:rPr>
              <w:t>What service-level turnaround is expected for Online SR verification, Offline Stage-1 verification, and Offline Stage-2 verification (working hours / working days)?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Define SLA per stage.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E1741C">
      <w:pPr>
        <w:pStyle w:val="Heading1"/>
      </w:pPr>
      <w:r>
        <w:rPr>
          <w:color w:val="1F4E79"/>
        </w:rPr>
        <w:t>3</w:t>
      </w:r>
      <w:r w:rsidR="00504D45">
        <w:rPr>
          <w:color w:val="1F4E79"/>
        </w:rPr>
        <w:t>. Scalability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§13.3 — growth of users, registrations, documents, integrations.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417"/>
        <w:gridCol w:w="1701"/>
        <w:gridCol w:w="1437"/>
        <w:gridCol w:w="1435"/>
        <w:gridCol w:w="1416"/>
        <w:gridCol w:w="1406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is the expected growth in registered portal users / citizens for Y1, Y2, Y3 after go-live?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Absolute numbers or % YoY.</w:t>
            </w:r>
          </w:p>
        </w:tc>
        <w:tc>
          <w:tcPr>
            <w:tcW w:w="1461" w:type="dxa"/>
          </w:tcPr>
          <w:p w:rsidR="00740F64" w:rsidRDefault="003E0792">
            <w:pPr>
              <w:spacing w:before="40" w:after="40"/>
            </w:pPr>
            <w:r>
              <w:t>10% increase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NFR-HMA-SCALE-002</w:t>
            </w:r>
          </w:p>
        </w:tc>
        <w:tc>
          <w:tcPr>
            <w:tcW w:w="1461" w:type="dxa"/>
            <w:shd w:val="clear" w:color="auto" w:fill="F2F2F2"/>
          </w:tcPr>
          <w:p w:rsidR="00740F64" w:rsidRPr="003E0792" w:rsidRDefault="00504D45">
            <w:pPr>
              <w:spacing w:before="40" w:after="40"/>
              <w:rPr>
                <w:strike/>
              </w:rPr>
            </w:pPr>
            <w:r w:rsidRPr="003E0792">
              <w:rPr>
                <w:rFonts w:ascii="Calibri" w:hAnsi="Calibri"/>
                <w:strike/>
                <w:sz w:val="16"/>
              </w:rPr>
              <w:t>What is the expected volume of Hindu marriage registrations per year for Y1–Y3 (state-wide)? Any district-wise hotspots?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Use IGSR / historical volumes where possible.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document/attachment storage growth is expected (photos, proofs, DEO scans) and for how many years must operational attachments be kept online vs archived?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GB/TB + retention years.</w:t>
            </w:r>
          </w:p>
        </w:tc>
        <w:tc>
          <w:tcPr>
            <w:tcW w:w="1461" w:type="dxa"/>
          </w:tcPr>
          <w:p w:rsidR="00740F64" w:rsidRDefault="003E0792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NFR-HMA-SCALE-004</w:t>
            </w:r>
          </w:p>
        </w:tc>
        <w:tc>
          <w:tcPr>
            <w:tcW w:w="1461" w:type="dxa"/>
            <w:shd w:val="clear" w:color="auto" w:fill="F2F2F2"/>
          </w:tcPr>
          <w:p w:rsidR="00740F64" w:rsidRPr="003E0792" w:rsidRDefault="00504D45">
            <w:pPr>
              <w:spacing w:before="40" w:after="40"/>
              <w:rPr>
                <w:strike/>
              </w:rPr>
            </w:pPr>
            <w:r w:rsidRPr="003E0792">
              <w:rPr>
                <w:rFonts w:ascii="Calibri" w:hAnsi="Calibri"/>
                <w:strike/>
                <w:sz w:val="16"/>
              </w:rPr>
              <w:t>What peak TPS / daily caps are expected for payment, Aadhaar/eKYC, DigiLocker, SMS and eSign integrations for this module?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Per integration if known; else “follow platform”.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Must the architecture support horizontal scale-out of app/API and DB read replicas / partitioning as load grows, or is verti</w:t>
            </w:r>
            <w:r w:rsidR="003E0792">
              <w:rPr>
                <w:rFonts w:ascii="Calibri" w:hAnsi="Calibri"/>
                <w:sz w:val="16"/>
              </w:rPr>
              <w:t>cal scale sufficient</w:t>
            </w:r>
            <w:r>
              <w:rPr>
                <w:rFonts w:ascii="Calibri" w:hAnsi="Calibri"/>
                <w:sz w:val="16"/>
              </w:rPr>
              <w:t>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with Architecture / SDC.</w:t>
            </w:r>
          </w:p>
        </w:tc>
        <w:tc>
          <w:tcPr>
            <w:tcW w:w="1461" w:type="dxa"/>
          </w:tcPr>
          <w:p w:rsidR="00740F64" w:rsidRDefault="003E0792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E1741C">
      <w:pPr>
        <w:pStyle w:val="Heading1"/>
      </w:pPr>
      <w:r>
        <w:rPr>
          <w:color w:val="1F4E79"/>
        </w:rPr>
        <w:lastRenderedPageBreak/>
        <w:t>4</w:t>
      </w:r>
      <w:r w:rsidR="00504D45">
        <w:rPr>
          <w:color w:val="1F4E79"/>
        </w:rPr>
        <w:t>. Security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§13.4 — AuthN/AuthZ, encryption, hardening, eSign/DSC, DEO separation.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624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NFR-HMA-SEC-001 / NFR-OP-04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How must citizens authenticate (portal login, OTP, eKYC/Aadhaar as approved)? How must SRO / DEO / admin authenticate (department IdP / SSO)? Is MFA mandatory for privileged roles?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Describe mechanisms + MFA yes/no by role.</w:t>
            </w:r>
          </w:p>
        </w:tc>
        <w:tc>
          <w:tcPr>
            <w:tcW w:w="1461" w:type="dxa"/>
          </w:tcPr>
          <w:p w:rsidR="00740F64" w:rsidRDefault="005A765B">
            <w:pPr>
              <w:spacing w:before="40" w:after="40"/>
            </w:pPr>
            <w:r>
              <w:t>Password and OTP</w:t>
            </w:r>
          </w:p>
          <w:p w:rsidR="005A765B" w:rsidRDefault="005A765B">
            <w:pPr>
              <w:spacing w:before="40" w:after="40"/>
            </w:pPr>
          </w:p>
          <w:p w:rsidR="005A765B" w:rsidRDefault="005A765B">
            <w:pPr>
              <w:spacing w:before="40" w:after="40"/>
            </w:pPr>
            <w:r>
              <w:t>For department officials - Biometric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RBAC roles and jurisdiction scoping: Citizen, SRO, DEO, Admin, IGSR. Any additional roles?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Approve role matrix in workshop.</w:t>
            </w:r>
          </w:p>
        </w:tc>
        <w:tc>
          <w:tcPr>
            <w:tcW w:w="1461" w:type="dxa"/>
            <w:shd w:val="clear" w:color="auto" w:fill="F2F2F2"/>
          </w:tcPr>
          <w:p w:rsidR="00740F64" w:rsidRDefault="00DF75A9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encryption: TLS version minimum for transit; encryption-at-rest standard for PII, documents and certificates.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TLS 1.2+; SDC disk/DB encryption.</w:t>
            </w:r>
          </w:p>
        </w:tc>
        <w:tc>
          <w:tcPr>
            <w:tcW w:w="1461" w:type="dxa"/>
          </w:tcPr>
          <w:p w:rsidR="00740F64" w:rsidRDefault="00DF75A9">
            <w:pPr>
              <w:spacing w:before="40" w:after="40"/>
            </w:pPr>
            <w:r>
              <w:t>SSL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Where must secrets (DB creds, API keys, certificates) be stored? Is a vault / SDC secret store mandatory?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Name standard tool.</w:t>
            </w:r>
          </w:p>
        </w:tc>
        <w:tc>
          <w:tcPr>
            <w:tcW w:w="1461" w:type="dxa"/>
            <w:shd w:val="clear" w:color="auto" w:fill="F2F2F2"/>
          </w:tcPr>
          <w:p w:rsidR="00740F64" w:rsidRDefault="00DF75A9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hardening baseline applies (MeitY / CERT-In / SDC): OS, containers, WAF, SSL, privileged access?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Cite policy documents.</w:t>
            </w:r>
          </w:p>
        </w:tc>
        <w:tc>
          <w:tcPr>
            <w:tcW w:w="1461" w:type="dxa"/>
          </w:tcPr>
          <w:p w:rsidR="00740F64" w:rsidRDefault="00DF75A9">
            <w:pPr>
              <w:spacing w:before="40" w:after="40"/>
            </w:pPr>
            <w:r>
              <w:t>Policy documents should be added (TBD)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vulnerability scan cadence and patch SLAs (Critical / High / Medium) are required? Are third-party / CERT-In / STQC audits mandatory before go-live?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Cadence + SLA days + audit path.</w:t>
            </w:r>
          </w:p>
        </w:tc>
        <w:tc>
          <w:tcPr>
            <w:tcW w:w="1461" w:type="dxa"/>
            <w:shd w:val="clear" w:color="auto" w:fill="F2F2F2"/>
          </w:tcPr>
          <w:p w:rsidR="00740F64" w:rsidRDefault="00DF75A9">
            <w:pPr>
              <w:spacing w:before="40" w:after="40"/>
            </w:pPr>
            <w:r>
              <w:t>VAPT is mandatory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NFR-HMA-SEC-007 / NFR-OP-06</w:t>
            </w:r>
          </w:p>
        </w:tc>
        <w:tc>
          <w:tcPr>
            <w:tcW w:w="1461" w:type="dxa"/>
          </w:tcPr>
          <w:p w:rsidR="00740F64" w:rsidRPr="00DF75A9" w:rsidRDefault="00504D45">
            <w:pPr>
              <w:spacing w:before="40" w:after="40"/>
              <w:rPr>
                <w:strike/>
              </w:rPr>
            </w:pPr>
            <w:r w:rsidRPr="00DF75A9">
              <w:rPr>
                <w:rFonts w:ascii="Calibri" w:hAnsi="Calibri"/>
                <w:strike/>
                <w:sz w:val="16"/>
              </w:rPr>
              <w:t>What integrity features are required on Form II-A certificates (QR code, digital seal, hash, public verification URL)?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Select approach and verification UX.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NFR-HMA-SEC-008</w:t>
            </w:r>
          </w:p>
        </w:tc>
        <w:tc>
          <w:tcPr>
            <w:tcW w:w="1461" w:type="dxa"/>
            <w:shd w:val="clear" w:color="auto" w:fill="F2F2F2"/>
          </w:tcPr>
          <w:p w:rsidR="00740F64" w:rsidRPr="00DF75A9" w:rsidRDefault="00504D45">
            <w:pPr>
              <w:spacing w:before="40" w:after="40"/>
              <w:rPr>
                <w:strike/>
              </w:rPr>
            </w:pPr>
            <w:r w:rsidRPr="00DF75A9">
              <w:rPr>
                <w:rFonts w:ascii="Calibri" w:hAnsi="Calibri"/>
                <w:strike/>
                <w:sz w:val="16"/>
              </w:rPr>
              <w:t>Confirm Aadhaar / eKYC usage scope for Marriage registration and UIDAI-compliant handling constraints.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In / out of scope; masking rules.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NFR-HMA-SEC-009 / NFR-OP-09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Which eSign provider will be used? What integrity / verifiability / audit </w:t>
            </w:r>
            <w:r>
              <w:rPr>
                <w:rFonts w:ascii="Calibri" w:hAnsi="Calibri"/>
                <w:sz w:val="16"/>
              </w:rPr>
              <w:lastRenderedPageBreak/>
              <w:t>requirements apply? What is the fallback if eSign is down?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>Provider + SLA + contingency.</w:t>
            </w:r>
          </w:p>
        </w:tc>
        <w:tc>
          <w:tcPr>
            <w:tcW w:w="1461" w:type="dxa"/>
          </w:tcPr>
          <w:p w:rsidR="00740F64" w:rsidRDefault="00DF75A9">
            <w:pPr>
              <w:spacing w:before="40" w:after="40"/>
            </w:pPr>
            <w:r>
              <w:t>e-Governance, Karnataka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NFR-HMA-SEC-010 / NFR-OP-10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is the DSC custody process for Sub-Registrars (issuance, storage, expiry monitoring, revocation on transfer/retirement)?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Describe Ops process owner.</w:t>
            </w:r>
          </w:p>
        </w:tc>
        <w:tc>
          <w:tcPr>
            <w:tcW w:w="1461" w:type="dxa"/>
            <w:shd w:val="clear" w:color="auto" w:fill="F2F2F2"/>
          </w:tcPr>
          <w:p w:rsidR="00740F64" w:rsidRDefault="00DF75A9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SEC-11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NFR-HMA-SEC-011</w:t>
            </w:r>
          </w:p>
        </w:tc>
        <w:tc>
          <w:tcPr>
            <w:tcW w:w="1461" w:type="dxa"/>
          </w:tcPr>
          <w:p w:rsidR="00740F64" w:rsidRPr="00DF75A9" w:rsidRDefault="00504D45">
            <w:pPr>
              <w:spacing w:before="40" w:after="40"/>
              <w:rPr>
                <w:strike/>
              </w:rPr>
            </w:pPr>
            <w:r w:rsidRPr="00DF75A9">
              <w:rPr>
                <w:rFonts w:ascii="Calibri" w:hAnsi="Calibri"/>
                <w:strike/>
                <w:sz w:val="16"/>
              </w:rPr>
              <w:t>Confirm DEO must not be able to approve, register or digitally sign — upload and signature-check only. Any exception?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enforce / exception: ___.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SEC-12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NFR-HMA-SEC-012</w:t>
            </w:r>
          </w:p>
        </w:tc>
        <w:tc>
          <w:tcPr>
            <w:tcW w:w="1461" w:type="dxa"/>
            <w:shd w:val="clear" w:color="auto" w:fill="F2F2F2"/>
          </w:tcPr>
          <w:p w:rsidR="00740F64" w:rsidRPr="00DF75A9" w:rsidRDefault="00504D45">
            <w:pPr>
              <w:spacing w:before="40" w:after="40"/>
              <w:rPr>
                <w:strike/>
              </w:rPr>
            </w:pPr>
            <w:r w:rsidRPr="00DF75A9">
              <w:rPr>
                <w:rFonts w:ascii="Calibri" w:hAnsi="Calibri"/>
                <w:strike/>
                <w:sz w:val="16"/>
              </w:rPr>
              <w:t>Is antivirus / malware scanning mandatory for all DEO-uploaded scans before storage and SR viewing?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No; tool preference.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E1741C">
      <w:pPr>
        <w:pStyle w:val="Heading1"/>
      </w:pPr>
      <w:r>
        <w:rPr>
          <w:color w:val="1F4E79"/>
        </w:rPr>
        <w:t>5</w:t>
      </w:r>
      <w:r w:rsidR="00504D45">
        <w:rPr>
          <w:color w:val="1F4E79"/>
        </w:rPr>
        <w:t>. Privacy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§13.5 — PII inventory, masking, retention, non-prod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NFR-HMA-PRIV-001</w:t>
            </w:r>
          </w:p>
        </w:tc>
        <w:tc>
          <w:tcPr>
            <w:tcW w:w="1461" w:type="dxa"/>
          </w:tcPr>
          <w:p w:rsidR="00740F64" w:rsidRPr="00323B9F" w:rsidRDefault="00504D45">
            <w:pPr>
              <w:spacing w:before="40" w:after="40"/>
              <w:rPr>
                <w:strike/>
              </w:rPr>
            </w:pPr>
            <w:r w:rsidRPr="00323B9F">
              <w:rPr>
                <w:rFonts w:ascii="Calibri" w:hAnsi="Calibri"/>
                <w:strike/>
                <w:sz w:val="16"/>
              </w:rPr>
              <w:t>Please confirm / complete the PII inventory for Marriage: parties, witnesses, Aadhaar refs, photos, addresses, contact numbers, bank/payment refs. Any additional sensitive fields?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List extras or “complete as listed”.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fields must be masked by default in UI, logs, support tools and non-prod (e.g. Aadhaar, mobile, email)?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Masking pattern (e.g. XXXX-XXXX-1234).</w:t>
            </w:r>
          </w:p>
        </w:tc>
        <w:tc>
          <w:tcPr>
            <w:tcW w:w="1461" w:type="dxa"/>
            <w:shd w:val="clear" w:color="auto" w:fill="F2F2F2"/>
          </w:tcPr>
          <w:p w:rsidR="00740F64" w:rsidRDefault="00323B9F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NFR-HMA-PRIV-003 / NFR-OP-05</w:t>
            </w:r>
          </w:p>
        </w:tc>
        <w:tc>
          <w:tcPr>
            <w:tcW w:w="1461" w:type="dxa"/>
          </w:tcPr>
          <w:p w:rsidR="00740F64" w:rsidRPr="00323B9F" w:rsidRDefault="00504D45">
            <w:pPr>
              <w:spacing w:before="40" w:after="40"/>
              <w:rPr>
                <w:strike/>
              </w:rPr>
            </w:pPr>
            <w:r w:rsidRPr="00323B9F">
              <w:rPr>
                <w:rFonts w:ascii="Calibri" w:hAnsi="Calibri"/>
                <w:strike/>
                <w:sz w:val="16"/>
              </w:rPr>
              <w:t>Confirm: statutory Hindu Marriage registers are permanent (Rule 10(2)). What retention applies to operational logs, attachments, drafts, rejected applications and payment artefacts?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Years / purge rules / archive policy.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NFR-HMA-PRIV-004</w:t>
            </w:r>
          </w:p>
        </w:tc>
        <w:tc>
          <w:tcPr>
            <w:tcW w:w="1461" w:type="dxa"/>
            <w:shd w:val="clear" w:color="auto" w:fill="F2F2F2"/>
          </w:tcPr>
          <w:p w:rsidR="00740F64" w:rsidRPr="00323B9F" w:rsidRDefault="00504D45">
            <w:pPr>
              <w:spacing w:before="40" w:after="40"/>
              <w:rPr>
                <w:strike/>
              </w:rPr>
            </w:pPr>
            <w:r w:rsidRPr="00323B9F">
              <w:rPr>
                <w:rFonts w:ascii="Calibri" w:hAnsi="Calibri"/>
                <w:strike/>
                <w:sz w:val="16"/>
              </w:rPr>
              <w:t xml:space="preserve">Who may export bulk PII / certificates? What approval path is </w:t>
            </w:r>
            <w:r w:rsidRPr="00323B9F">
              <w:rPr>
                <w:rFonts w:ascii="Calibri" w:hAnsi="Calibri"/>
                <w:strike/>
                <w:sz w:val="16"/>
              </w:rPr>
              <w:lastRenderedPageBreak/>
              <w:t>required for MIS extracts containing personal data?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>Role + approval authority.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May production PII be copied to UAT/training environments, or must non-prod use anonymized / synthetic data only?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Policy: anonymized only / approved exceptions.</w:t>
            </w:r>
          </w:p>
        </w:tc>
        <w:tc>
          <w:tcPr>
            <w:tcW w:w="1461" w:type="dxa"/>
          </w:tcPr>
          <w:p w:rsidR="00740F64" w:rsidRDefault="00323B9F">
            <w:pPr>
              <w:spacing w:before="40" w:after="40"/>
            </w:pPr>
            <w:r>
              <w:t>YES after approvals (scrambled data)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E1741C">
      <w:pPr>
        <w:pStyle w:val="Heading1"/>
      </w:pPr>
      <w:r>
        <w:rPr>
          <w:color w:val="1F4E79"/>
        </w:rPr>
        <w:t>6</w:t>
      </w:r>
      <w:r w:rsidR="00504D45">
        <w:rPr>
          <w:color w:val="1F4E79"/>
        </w:rPr>
        <w:t>. Audit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§13.6 — audit events, evidence, retention, channel/eSign/DEO specifics.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9"/>
        <w:gridCol w:w="1036"/>
        <w:gridCol w:w="2071"/>
        <w:gridCol w:w="1246"/>
        <w:gridCol w:w="3072"/>
        <w:gridCol w:w="1068"/>
        <w:gridCol w:w="978"/>
      </w:tblGrid>
      <w:tr w:rsidR="00504D45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504D45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immutable audit is required for status changes, SRO scrutiny, approvals/rejections and fee events. Any additional business events?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Append-only / WORM expectation.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t>WORM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NFR-HMA-AUD-002</w:t>
            </w:r>
          </w:p>
        </w:tc>
        <w:tc>
          <w:tcPr>
            <w:tcW w:w="1461" w:type="dxa"/>
            <w:shd w:val="clear" w:color="auto" w:fill="F2F2F2"/>
          </w:tcPr>
          <w:p w:rsidR="00740F64" w:rsidRPr="00504D45" w:rsidRDefault="00504D45">
            <w:pPr>
              <w:spacing w:before="40" w:after="40"/>
              <w:rPr>
                <w:strike/>
              </w:rPr>
            </w:pPr>
            <w:r w:rsidRPr="00504D45">
              <w:rPr>
                <w:rFonts w:ascii="Calibri" w:hAnsi="Calibri"/>
                <w:strike/>
                <w:sz w:val="16"/>
              </w:rPr>
              <w:t>Must certificate issuance, reprint/duplicate and corrections each create a separate auditable event linked to Form II-A?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No.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 w:rsidRPr="00504D45">
              <w:rPr>
                <w:rFonts w:ascii="Calibri" w:hAnsi="Calibri"/>
                <w:sz w:val="16"/>
                <w:highlight w:val="yellow"/>
              </w:rPr>
              <w:t>What retention period applies to login, privilege-change and configuration-change audits for SRO and admin accounts?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Years / align to security policy.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In what format must audit evidence be available for departmental / AG / security audits (export, report, SIEM)?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Name preferred format / consumers.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t>Excel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audit MIS cadence is required (daily/weekly/monthly) and who owns reporting?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Cadence + owner.</w:t>
            </w:r>
          </w:p>
        </w:tc>
        <w:tc>
          <w:tcPr>
            <w:tcW w:w="1461" w:type="dxa"/>
          </w:tcPr>
          <w:p w:rsidR="00740F64" w:rsidRDefault="00504D45" w:rsidP="00504D45">
            <w:pPr>
              <w:spacing w:before="40" w:after="40"/>
            </w:pPr>
            <w:r>
              <w:t>Daily/weekly/monthly/yearly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NFR-HMA-AUD-006–010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audit is mandatory for: channel selection/change; eSign &amp; SR DSC; DEO check/upload versions; both Offline SR verification stages; appointment book/reschedule/cancel/no-show.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all / list exclusions.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E1741C">
      <w:pPr>
        <w:pStyle w:val="Heading1"/>
      </w:pPr>
      <w:r>
        <w:rPr>
          <w:color w:val="1F4E79"/>
        </w:rPr>
        <w:t>7</w:t>
      </w:r>
      <w:r w:rsidR="00504D45">
        <w:rPr>
          <w:color w:val="1F4E79"/>
        </w:rPr>
        <w:t>. Operations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§13.8 — support model, monitoring, incidents, ownership.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642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NFR-HMA-OPS-001 / NFR-OP-07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What L1 / L2 / L3 support model, </w:t>
            </w:r>
            <w:r>
              <w:rPr>
                <w:rFonts w:ascii="Calibri" w:hAnsi="Calibri"/>
                <w:sz w:val="16"/>
              </w:rPr>
              <w:lastRenderedPageBreak/>
              <w:t>hours of cover (IST) and escalation matrix are required for citizen and SRO issues?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 xml:space="preserve">Hours, channels (phone/email/portal), </w:t>
            </w:r>
            <w:r>
              <w:rPr>
                <w:rFonts w:ascii="Calibri" w:hAnsi="Calibri"/>
                <w:sz w:val="16"/>
              </w:rPr>
              <w:lastRenderedPageBreak/>
              <w:t>SLAs.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lastRenderedPageBreak/>
              <w:t xml:space="preserve">TBD, escalation </w:t>
            </w:r>
            <w:r>
              <w:lastRenderedPageBreak/>
              <w:t>matrix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components must be monitored in dashboards (app health, API latency/errors, DB, payment, eSign, SMS, certificate jobs, appointment)?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list + add extras.</w:t>
            </w:r>
          </w:p>
        </w:tc>
        <w:tc>
          <w:tcPr>
            <w:tcW w:w="1461" w:type="dxa"/>
            <w:shd w:val="clear" w:color="auto" w:fill="F2F2F2"/>
          </w:tcPr>
          <w:p w:rsidR="00740F64" w:rsidRDefault="0086391F">
            <w:pPr>
              <w:spacing w:before="40" w:after="40"/>
            </w:pPr>
            <w:r>
              <w:t>Yes, all components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alert severity matrix and acknowledgment SLAs apply (Critical / High / Medium / Low)?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Ack times per severity.</w:t>
            </w:r>
          </w:p>
        </w:tc>
        <w:tc>
          <w:tcPr>
            <w:tcW w:w="1461" w:type="dxa"/>
          </w:tcPr>
          <w:p w:rsidR="00740F64" w:rsidRDefault="0086391F" w:rsidP="0086391F">
            <w:pPr>
              <w:spacing w:before="40" w:after="40"/>
            </w:pPr>
            <w:r>
              <w:t>Component specific, TBD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incident response expectations: classify, contain, communicate, RCA, post-incident review. Any department-specific ITIL deviations?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follow ITIL / deviations: ___.</w:t>
            </w:r>
          </w:p>
        </w:tc>
        <w:tc>
          <w:tcPr>
            <w:tcW w:w="1461" w:type="dxa"/>
            <w:shd w:val="clear" w:color="auto" w:fill="F2F2F2"/>
          </w:tcPr>
          <w:p w:rsidR="00740F64" w:rsidRDefault="0086391F">
            <w:pPr>
              <w:spacing w:before="40" w:after="40"/>
            </w:pPr>
            <w:r>
              <w:t>Yes RCA required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NFR-HMA-OPS-005</w:t>
            </w:r>
          </w:p>
        </w:tc>
        <w:tc>
          <w:tcPr>
            <w:tcW w:w="1461" w:type="dxa"/>
          </w:tcPr>
          <w:p w:rsidR="00740F64" w:rsidRDefault="00504D45" w:rsidP="0086391F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Name the service owner, application owner, infrastructure owner and data owner for </w:t>
            </w:r>
            <w:r w:rsidR="0086391F">
              <w:rPr>
                <w:rFonts w:ascii="Calibri" w:hAnsi="Calibri"/>
                <w:sz w:val="16"/>
              </w:rPr>
              <w:t>all</w:t>
            </w:r>
            <w:r>
              <w:rPr>
                <w:rFonts w:ascii="Calibri" w:hAnsi="Calibri"/>
                <w:sz w:val="16"/>
              </w:rPr>
              <w:t xml:space="preserve"> module.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Four named roles/orgs.</w:t>
            </w:r>
          </w:p>
        </w:tc>
        <w:tc>
          <w:tcPr>
            <w:tcW w:w="1461" w:type="dxa"/>
          </w:tcPr>
          <w:p w:rsidR="00740F64" w:rsidRDefault="0086391F">
            <w:pPr>
              <w:spacing w:before="40" w:after="40"/>
            </w:pPr>
            <w:r>
              <w:t>KAVERI IT Cell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Are runbooks mandatory before go-live for submit, pay, register, certificate issue, DEO upload, appointment and restore?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(pack complete) / prioritized subset.</w:t>
            </w:r>
          </w:p>
        </w:tc>
        <w:tc>
          <w:tcPr>
            <w:tcW w:w="1461" w:type="dxa"/>
            <w:shd w:val="clear" w:color="auto" w:fill="F2F2F2"/>
          </w:tcPr>
          <w:p w:rsidR="00740F64" w:rsidRDefault="0086391F">
            <w:pPr>
              <w:spacing w:before="40" w:after="40"/>
            </w:pPr>
            <w:r>
              <w:t>Yes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E1741C">
      <w:pPr>
        <w:pStyle w:val="Heading1"/>
      </w:pPr>
      <w:r>
        <w:rPr>
          <w:color w:val="1F4E79"/>
        </w:rPr>
        <w:t>8</w:t>
      </w:r>
      <w:r w:rsidR="00504D45">
        <w:rPr>
          <w:color w:val="1F4E79"/>
        </w:rPr>
        <w:t>. Capacity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§13.9 — compute, memory, storage, DB, network sizing.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NFR-HMA-CAP-001 / NFR-OP-08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compute sizing assumptions (vCPU / nodes / workers) should Architecture use for peak + headroom at go-live?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Provide numbers or “SDC to size from Perf targets”.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What memory sizing assumptions </w:t>
            </w:r>
            <w:r>
              <w:rPr>
                <w:rFonts w:ascii="Calibri" w:hAnsi="Calibri"/>
                <w:sz w:val="16"/>
              </w:rPr>
              <w:lastRenderedPageBreak/>
              <w:t>(GB per tier) apply?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>App / API / DB.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NFR-HMA-CAP-003 / NFR-OP-11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storage capacity (DB + object store for documents/scans) is required for Y1–Y3, including Offline DEO scan growth?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TB + growth %.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Any database constraints to plan for (max connections, IOPS, HA/replica footprint)?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Numbers or SDC defaults.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Any network bandwidth / latency requirements between SRO offices, SDC, DR and integration endpoints?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Especially for scan upload peak hours.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How often must capacity be reviewed (quarterly / before peak seasons)? Who chairs the review?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Cadence + chair.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13. Compliance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§13.10 — GIGW, WCAG, MeitY/CERT-In, STQC, localization, statutory forms.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636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Is GIGW compliance mandatory for all citizen-facing Marriage screens? Who signs the checklist?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No; sign-off role.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WCAG level is required (A / AA / AAA) and for which channels (citizen portal, SRO desk, PDFs)?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Preferred: AA for citizen portal.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MeitY / CERT-In security guidelines and advisories apply; any additional Karnataka e-Gov norms?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List extra norms.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 w:rsidP="00E1741C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Is </w:t>
            </w:r>
            <w:r w:rsidR="00E1741C">
              <w:rPr>
                <w:rFonts w:ascii="Calibri" w:hAnsi="Calibri"/>
                <w:sz w:val="16"/>
              </w:rPr>
              <w:t>SDC</w:t>
            </w:r>
            <w:r>
              <w:rPr>
                <w:rFonts w:ascii="Calibri" w:hAnsi="Calibri"/>
                <w:sz w:val="16"/>
              </w:rPr>
              <w:t xml:space="preserve"> </w:t>
            </w:r>
            <w:proofErr w:type="gramStart"/>
            <w:r>
              <w:rPr>
                <w:rFonts w:ascii="Calibri" w:hAnsi="Calibri"/>
                <w:sz w:val="16"/>
              </w:rPr>
              <w:t>hosting  security</w:t>
            </w:r>
            <w:proofErr w:type="gramEnd"/>
            <w:r>
              <w:rPr>
                <w:rFonts w:ascii="Calibri" w:hAnsi="Calibri"/>
                <w:sz w:val="16"/>
              </w:rPr>
              <w:t xml:space="preserve"> clearance required before go-live? What is the clearance path and timeline?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Path + responsible party.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</w:t>
            </w:r>
            <w:r>
              <w:rPr>
                <w:rFonts w:ascii="Calibri" w:hAnsi="Calibri"/>
                <w:b/>
                <w:sz w:val="16"/>
              </w:rPr>
              <w:lastRenderedPageBreak/>
              <w:t>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 xml:space="preserve">Confirm </w:t>
            </w:r>
            <w:r>
              <w:rPr>
                <w:rFonts w:ascii="Calibri" w:hAnsi="Calibri"/>
                <w:sz w:val="16"/>
              </w:rPr>
              <w:lastRenderedPageBreak/>
              <w:t>Aadhaar/UIDAI and Karnataka hosting/security norms that must be evidenced at go-live.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 xml:space="preserve">Evidence artefacts </w:t>
            </w:r>
            <w:r>
              <w:rPr>
                <w:rFonts w:ascii="Calibri" w:hAnsi="Calibri"/>
                <w:sz w:val="16"/>
              </w:rPr>
              <w:lastRenderedPageBreak/>
              <w:t>expected.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bilingual requirement: Kannada + English UI and Kannada fonts on screen and on PDF certificates/printouts. Any other languages?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Languages list.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Confirm: statutory form wording (Form I, IA, II, II-A, III, VI) must not change without Legal / Domain Expert approval.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process for exceptions.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government records / archival policies must registers and audit evidence align to?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Cite policy names.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14. Priority open decisions (from BRD §13.11)</w:t>
      </w:r>
    </w:p>
    <w:p w:rsidR="00740F64" w:rsidRDefault="00504D45">
      <w:pPr>
        <w:spacing w:after="120"/>
      </w:pPr>
      <w:r>
        <w:rPr>
          <w:rFonts w:ascii="Calibri" w:hAnsi="Calibri"/>
          <w:i/>
          <w:sz w:val="20"/>
        </w:rPr>
        <w:t>Use this shortlist if workshop time is limited — these map to NFR-OP-01…12.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availability % and maintenance window with SDC / Ops.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Must decide before SLA wording in BRD.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p95 latency, concurrency and peak TPS from Kaveri 2.0 + growth.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Drives Perf test &amp; capacity.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RPO / RTO and whether SDC DR standard is inherited.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Drives architecture.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citizen + SRO AuthN and MFA for privileged roles.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Security design gate.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PII retention beyond permanent registers.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Legal + DBA.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Form II-A QR / digital seal approach.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Product + Security.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L1/L2/L3 hours and incident SLAs.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Support model.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go-live capacity numbers.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Infra worksheet.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lastRenderedPageBreak/>
              <w:t>OD-09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eSign provider, SLA and fallback.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Integration contingency.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DSC provisioning &amp; expiry monitoring for all SRs.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Ops process.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OD-11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NFR-OP-11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storage growth from Offline DEO scans.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Capacity model.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OD-12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NFR-OP-12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SLA per verification stage (Online / Offline 1 / Offline 2).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Service standard.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15. Workshop attendees &amp;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40F64">
        <w:tc>
          <w:tcPr>
            <w:tcW w:w="2556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2556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w="2556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8"/>
              </w:rPr>
              <w:t>Organisation</w:t>
            </w:r>
          </w:p>
        </w:tc>
        <w:tc>
          <w:tcPr>
            <w:tcW w:w="2556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8"/>
              </w:rPr>
              <w:t>Signature / Date</w:t>
            </w:r>
          </w:p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Product Owner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Domain Expert / IGSR nominee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Architecture / SDC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Operations / Support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</w:tbl>
    <w:p w:rsidR="00740F64" w:rsidRDefault="00740F64"/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End of questionnaire — return completed responses to BA for update of BRD-K3-MRG-HMA-001 §13.</w:t>
      </w:r>
    </w:p>
    <w:sectPr w:rsidR="00740F64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4194"/>
    <w:rsid w:val="00253417"/>
    <w:rsid w:val="0029639D"/>
    <w:rsid w:val="00323B9F"/>
    <w:rsid w:val="00326F90"/>
    <w:rsid w:val="003E0792"/>
    <w:rsid w:val="00504D45"/>
    <w:rsid w:val="005767E0"/>
    <w:rsid w:val="005A765B"/>
    <w:rsid w:val="005B2CF1"/>
    <w:rsid w:val="00686DC0"/>
    <w:rsid w:val="00740F64"/>
    <w:rsid w:val="0080460E"/>
    <w:rsid w:val="0086391F"/>
    <w:rsid w:val="009215C2"/>
    <w:rsid w:val="00AA1D8D"/>
    <w:rsid w:val="00AE5FC8"/>
    <w:rsid w:val="00B47730"/>
    <w:rsid w:val="00CB0664"/>
    <w:rsid w:val="00DF75A9"/>
    <w:rsid w:val="00E1741C"/>
    <w:rsid w:val="00E24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B7BAB"/>
  <w14:defaultImageDpi w14:val="300"/>
  <w15:docId w15:val="{1350C06D-E230-420E-B170-B979309B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174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EFA450-2476-48A2-BA69-A6058995A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2261</Words>
  <Characters>12893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cp:lastPrinted>2026-08-19T11:53:00Z</cp:lastPrinted>
  <dcterms:created xsi:type="dcterms:W3CDTF">2026-08-20T04:54:00Z</dcterms:created>
  <dcterms:modified xsi:type="dcterms:W3CDTF">2026-08-20T04:54:00Z</dcterms:modified>
  <cp:category/>
</cp:coreProperties>
</file>