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0F64" w:rsidRDefault="00504D45">
      <w:pPr>
        <w:jc w:val="center"/>
      </w:pPr>
      <w:r>
        <w:rPr>
          <w:rFonts w:ascii="Calibri" w:hAnsi="Calibri"/>
          <w:b/>
          <w:color w:val="1F4E79"/>
          <w:sz w:val="32"/>
        </w:rPr>
        <w:t>Non-Functional Requirements (NFR) Questionnaire</w:t>
      </w:r>
      <w:r>
        <w:rPr>
          <w:rFonts w:ascii="Calibri" w:hAnsi="Calibri"/>
          <w:b/>
          <w:color w:val="1F4E79"/>
          <w:sz w:val="32"/>
        </w:rPr>
        <w:br/>
        <w:t>Marriage Registration — Hindu Marriage (HMA 1955)</w:t>
      </w:r>
      <w:r>
        <w:rPr>
          <w:rFonts w:ascii="Calibri" w:hAnsi="Calibri"/>
          <w:b/>
          <w:color w:val="1F4E79"/>
          <w:sz w:val="32"/>
        </w:rPr>
        <w:br/>
        <w:t>Kaveri 3.0</w:t>
      </w:r>
    </w:p>
    <w:p w:rsidR="00740F64" w:rsidRDefault="00504D45">
      <w:pPr>
        <w:spacing w:after="120"/>
      </w:pPr>
      <w:r>
        <w:rPr>
          <w:rFonts w:ascii="Calibri" w:hAnsi="Calibri"/>
          <w:i/>
          <w:sz w:val="20"/>
        </w:rPr>
        <w:t>Purpose: Capture client / department decisions for BRD §13 so TBD targets can be confirmed before architecture and sizing. Map each answer back to the NFR ID shown.</w:t>
      </w:r>
    </w:p>
    <w:p w:rsidR="00740F64" w:rsidRDefault="00504D45">
      <w:pPr>
        <w:pStyle w:val="Heading1"/>
      </w:pPr>
      <w:r>
        <w:rPr>
          <w:color w:val="1F4E79"/>
        </w:rPr>
        <w:t>1. Document control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740F64">
        <w:tc>
          <w:tcPr>
            <w:tcW w:w="5112" w:type="dxa"/>
            <w:shd w:val="clear" w:color="auto" w:fill="D6E3F0"/>
          </w:tcPr>
          <w:p w:rsidR="00740F64" w:rsidRDefault="00504D45">
            <w:r>
              <w:rPr>
                <w:rFonts w:ascii="Calibri" w:hAnsi="Calibri"/>
                <w:b/>
                <w:sz w:val="20"/>
              </w:rPr>
              <w:t>Document ID</w:t>
            </w:r>
          </w:p>
        </w:tc>
        <w:tc>
          <w:tcPr>
            <w:tcW w:w="5112" w:type="dxa"/>
          </w:tcPr>
          <w:p w:rsidR="00740F64" w:rsidRDefault="00504D45">
            <w:r>
              <w:rPr>
                <w:rFonts w:ascii="Calibri" w:hAnsi="Calibri"/>
                <w:sz w:val="20"/>
              </w:rPr>
              <w:t>QNR-K3-MRG-HMA-NFR-001</w:t>
            </w:r>
          </w:p>
        </w:tc>
      </w:tr>
      <w:tr w:rsidR="00740F64">
        <w:tc>
          <w:tcPr>
            <w:tcW w:w="5112" w:type="dxa"/>
            <w:shd w:val="clear" w:color="auto" w:fill="D6E3F0"/>
          </w:tcPr>
          <w:p w:rsidR="00740F64" w:rsidRDefault="00504D45">
            <w:r>
              <w:rPr>
                <w:rFonts w:ascii="Calibri" w:hAnsi="Calibri"/>
                <w:b/>
                <w:sz w:val="20"/>
              </w:rPr>
              <w:t>Related BRD</w:t>
            </w:r>
          </w:p>
        </w:tc>
        <w:tc>
          <w:tcPr>
            <w:tcW w:w="5112" w:type="dxa"/>
          </w:tcPr>
          <w:p w:rsidR="00740F64" w:rsidRDefault="00504D45">
            <w:r>
              <w:rPr>
                <w:rFonts w:ascii="Calibri" w:hAnsi="Calibri"/>
                <w:sz w:val="20"/>
              </w:rPr>
              <w:t>BRD-K3-MRG-HMA-001 (§13.1–13.11)</w:t>
            </w:r>
          </w:p>
        </w:tc>
      </w:tr>
      <w:tr w:rsidR="00740F64">
        <w:tc>
          <w:tcPr>
            <w:tcW w:w="5112" w:type="dxa"/>
            <w:shd w:val="clear" w:color="auto" w:fill="D6E3F0"/>
          </w:tcPr>
          <w:p w:rsidR="00740F64" w:rsidRDefault="00504D45">
            <w:r>
              <w:rPr>
                <w:rFonts w:ascii="Calibri" w:hAnsi="Calibri"/>
                <w:b/>
                <w:sz w:val="20"/>
              </w:rPr>
              <w:t>Module</w:t>
            </w:r>
          </w:p>
        </w:tc>
        <w:tc>
          <w:tcPr>
            <w:tcW w:w="5112" w:type="dxa"/>
          </w:tcPr>
          <w:p w:rsidR="00740F64" w:rsidRDefault="00504D45">
            <w:r>
              <w:rPr>
                <w:rFonts w:ascii="Calibri" w:hAnsi="Calibri"/>
                <w:sz w:val="20"/>
              </w:rPr>
              <w:t>Marriage Registration — Hindu Marriage (Online &amp; Offline channels)</w:t>
            </w:r>
          </w:p>
        </w:tc>
      </w:tr>
      <w:tr w:rsidR="00740F64">
        <w:tc>
          <w:tcPr>
            <w:tcW w:w="5112" w:type="dxa"/>
            <w:shd w:val="clear" w:color="auto" w:fill="D6E3F0"/>
          </w:tcPr>
          <w:p w:rsidR="00740F64" w:rsidRDefault="00504D45">
            <w:r>
              <w:rPr>
                <w:rFonts w:ascii="Calibri" w:hAnsi="Calibri"/>
                <w:b/>
                <w:sz w:val="20"/>
              </w:rPr>
              <w:t>Version</w:t>
            </w:r>
          </w:p>
        </w:tc>
        <w:tc>
          <w:tcPr>
            <w:tcW w:w="5112" w:type="dxa"/>
          </w:tcPr>
          <w:p w:rsidR="00740F64" w:rsidRDefault="00504D45">
            <w:r>
              <w:rPr>
                <w:rFonts w:ascii="Calibri" w:hAnsi="Calibri"/>
                <w:sz w:val="20"/>
              </w:rPr>
              <w:t>0.1 (Draft for client workshop)</w:t>
            </w:r>
          </w:p>
        </w:tc>
      </w:tr>
      <w:tr w:rsidR="00740F64">
        <w:tc>
          <w:tcPr>
            <w:tcW w:w="5112" w:type="dxa"/>
            <w:shd w:val="clear" w:color="auto" w:fill="D6E3F0"/>
          </w:tcPr>
          <w:p w:rsidR="00740F64" w:rsidRDefault="00504D45">
            <w:r>
              <w:rPr>
                <w:rFonts w:ascii="Calibri" w:hAnsi="Calibri"/>
                <w:b/>
                <w:sz w:val="20"/>
              </w:rPr>
              <w:t>Workshop date</w:t>
            </w:r>
          </w:p>
        </w:tc>
        <w:tc>
          <w:tcPr>
            <w:tcW w:w="5112" w:type="dxa"/>
          </w:tcPr>
          <w:p w:rsidR="00740F64" w:rsidRDefault="00504D45">
            <w:r>
              <w:rPr>
                <w:rFonts w:ascii="Calibri" w:hAnsi="Calibri"/>
                <w:sz w:val="20"/>
              </w:rPr>
              <w:t>[Date]</w:t>
            </w:r>
          </w:p>
        </w:tc>
      </w:tr>
      <w:tr w:rsidR="00740F64">
        <w:tc>
          <w:tcPr>
            <w:tcW w:w="5112" w:type="dxa"/>
            <w:shd w:val="clear" w:color="auto" w:fill="D6E3F0"/>
          </w:tcPr>
          <w:p w:rsidR="00740F64" w:rsidRDefault="00504D45">
            <w:r>
              <w:rPr>
                <w:rFonts w:ascii="Calibri" w:hAnsi="Calibri"/>
                <w:b/>
                <w:sz w:val="20"/>
              </w:rPr>
              <w:t>Facilitator (BA)</w:t>
            </w:r>
          </w:p>
        </w:tc>
        <w:tc>
          <w:tcPr>
            <w:tcW w:w="5112" w:type="dxa"/>
          </w:tcPr>
          <w:p w:rsidR="00740F64" w:rsidRDefault="00504D45">
            <w:r>
              <w:rPr>
                <w:rFonts w:ascii="Calibri" w:hAnsi="Calibri"/>
                <w:sz w:val="20"/>
              </w:rPr>
              <w:t>[Name]</w:t>
            </w:r>
          </w:p>
        </w:tc>
      </w:tr>
      <w:tr w:rsidR="00740F64">
        <w:tc>
          <w:tcPr>
            <w:tcW w:w="5112" w:type="dxa"/>
            <w:shd w:val="clear" w:color="auto" w:fill="D6E3F0"/>
          </w:tcPr>
          <w:p w:rsidR="00740F64" w:rsidRDefault="00504D45">
            <w:r>
              <w:rPr>
                <w:rFonts w:ascii="Calibri" w:hAnsi="Calibri"/>
                <w:b/>
                <w:sz w:val="20"/>
              </w:rPr>
              <w:t>Client / department respondents</w:t>
            </w:r>
          </w:p>
        </w:tc>
        <w:tc>
          <w:tcPr>
            <w:tcW w:w="5112" w:type="dxa"/>
          </w:tcPr>
          <w:p w:rsidR="00740F64" w:rsidRDefault="00504D45">
            <w:r>
              <w:rPr>
                <w:rFonts w:ascii="Calibri" w:hAnsi="Calibri"/>
                <w:sz w:val="20"/>
              </w:rPr>
              <w:t>[Names / roles — PO, IGSR, SDC, Security, Ops, Legal]</w:t>
            </w:r>
          </w:p>
        </w:tc>
      </w:tr>
      <w:tr w:rsidR="00740F64">
        <w:tc>
          <w:tcPr>
            <w:tcW w:w="5112" w:type="dxa"/>
            <w:shd w:val="clear" w:color="auto" w:fill="D6E3F0"/>
          </w:tcPr>
          <w:p w:rsidR="00740F64" w:rsidRDefault="00504D45">
            <w:r>
              <w:rPr>
                <w:rFonts w:ascii="Calibri" w:hAnsi="Calibri"/>
                <w:b/>
                <w:sz w:val="20"/>
              </w:rPr>
              <w:t>Status</w:t>
            </w:r>
          </w:p>
        </w:tc>
        <w:tc>
          <w:tcPr>
            <w:tcW w:w="5112" w:type="dxa"/>
          </w:tcPr>
          <w:p w:rsidR="00740F64" w:rsidRDefault="00504D45">
            <w:r>
              <w:rPr>
                <w:rFonts w:ascii="Calibri" w:hAnsi="Calibri"/>
                <w:sz w:val="20"/>
              </w:rPr>
              <w:t>Draft / In progress / Completed</w:t>
            </w: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2. How to use this questionnaire</w:t>
      </w:r>
    </w:p>
    <w:p w:rsidR="00740F64" w:rsidRDefault="00504D45">
      <w:pPr>
        <w:pStyle w:val="ListBullet"/>
      </w:pPr>
      <w:r>
        <w:rPr>
          <w:rFonts w:ascii="Calibri" w:hAnsi="Calibri"/>
          <w:sz w:val="20"/>
        </w:rPr>
        <w:t>Answer every question with a concrete target, “N/A”, or “Deferred” (with reason).</w:t>
      </w:r>
    </w:p>
    <w:p w:rsidR="00740F64" w:rsidRDefault="00504D45">
      <w:pPr>
        <w:pStyle w:val="ListBullet"/>
      </w:pPr>
      <w:r>
        <w:rPr>
          <w:rFonts w:ascii="Calibri" w:hAnsi="Calibri"/>
          <w:sz w:val="20"/>
        </w:rPr>
        <w:t>Prefer measurable values (%, seconds, hours, concurrency, TB) over qualitative wording.</w:t>
      </w:r>
    </w:p>
    <w:p w:rsidR="00740F64" w:rsidRDefault="00504D45">
      <w:pPr>
        <w:pStyle w:val="ListBullet"/>
      </w:pPr>
      <w:r>
        <w:rPr>
          <w:rFonts w:ascii="Calibri" w:hAnsi="Calibri"/>
          <w:sz w:val="20"/>
        </w:rPr>
        <w:t>Where Kaveri platform standards already exist, cite the platform NFR / SDC policy and confirm Marriage module inherits them.</w:t>
      </w:r>
    </w:p>
    <w:p w:rsidR="00740F64" w:rsidRDefault="00504D45">
      <w:pPr>
        <w:pStyle w:val="ListBullet"/>
      </w:pPr>
      <w:r>
        <w:rPr>
          <w:rFonts w:ascii="Calibri" w:hAnsi="Calibri"/>
          <w:sz w:val="20"/>
        </w:rPr>
        <w:t>After the workshop, update BRD §13 Target / measure columns and close NFR-OP-01…12.</w:t>
      </w:r>
    </w:p>
    <w:p w:rsidR="00740F64" w:rsidRDefault="00504D45">
      <w:pPr>
        <w:pStyle w:val="ListBullet"/>
      </w:pPr>
      <w:r>
        <w:rPr>
          <w:rFonts w:ascii="Calibri" w:hAnsi="Calibri"/>
          <w:sz w:val="20"/>
        </w:rPr>
        <w:t>Leave Owner and Due blank until a named respondent and date are agreed.</w:t>
      </w:r>
    </w:p>
    <w:p w:rsidR="00740F64" w:rsidRDefault="00504D45">
      <w:pPr>
        <w:pStyle w:val="Heading1"/>
      </w:pPr>
      <w:r>
        <w:rPr>
          <w:color w:val="1F4E79"/>
        </w:rPr>
        <w:t>3. Scope reminder (for respondents)</w:t>
      </w:r>
    </w:p>
    <w:p w:rsidR="00740F64" w:rsidRDefault="00504D45">
      <w:pPr>
        <w:spacing w:after="120"/>
      </w:pPr>
      <w:r>
        <w:rPr>
          <w:rFonts w:ascii="Calibri" w:hAnsi="Calibri"/>
          <w:sz w:val="20"/>
        </w:rPr>
        <w:t>NFRs apply to citizen portal + SRO desk for Hindu Marriage Online (citizen eSign) and Hindu Marriage Offline (printout, appointment, DEO upload, two-stage SR verification), including payment, eSign/DSC, SMS, and related integrations.</w:t>
      </w:r>
    </w:p>
    <w:p w:rsidR="00740F64" w:rsidRDefault="00504D45">
      <w:pPr>
        <w:pStyle w:val="Heading1"/>
      </w:pPr>
      <w:r>
        <w:rPr>
          <w:color w:val="1F4E79"/>
        </w:rPr>
        <w:t>4. Availability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§13.1 — service uptime, maintenance, outage communication, HA.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NFR-HMA-AVA-001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monthly / annual availability % is required for citizen portal and SRO desk (excluding approved maintenance)?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Options: 99.0% / 99.5% / 99.9% / Other: ___%. Confirm if Marriage follows platform SLA.</w:t>
            </w:r>
          </w:p>
        </w:tc>
        <w:tc>
          <w:tcPr>
            <w:tcW w:w="1461" w:type="dxa"/>
          </w:tcPr>
          <w:p w:rsidR="00740F64" w:rsidRDefault="00686DC0">
            <w:pPr>
              <w:spacing w:before="40" w:after="40"/>
            </w:pPr>
            <w:r>
              <w:t>99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NFR-HMA-AVA-002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What are the allowed planned maintenance </w:t>
            </w:r>
            <w:r>
              <w:rPr>
                <w:rFonts w:ascii="Calibri" w:hAnsi="Calibri"/>
                <w:sz w:val="16"/>
              </w:rPr>
              <w:lastRenderedPageBreak/>
              <w:t>windows (day, IST time band, max duration) and minimum citizen/SRO notice period?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>e.g. Sunday 02:00–06:00 IST; notice ≥72 hours.</w:t>
            </w:r>
          </w:p>
        </w:tc>
        <w:tc>
          <w:tcPr>
            <w:tcW w:w="1461" w:type="dxa"/>
            <w:shd w:val="clear" w:color="auto" w:fill="F2F2F2"/>
          </w:tcPr>
          <w:p w:rsidR="00740F64" w:rsidRDefault="00686DC0">
            <w:pPr>
              <w:spacing w:before="40" w:after="40"/>
            </w:pPr>
            <w:r>
              <w:t>Every month 2</w:t>
            </w:r>
            <w:r w:rsidRPr="00686DC0">
              <w:rPr>
                <w:vertAlign w:val="superscript"/>
              </w:rPr>
              <w:t>nd</w:t>
            </w:r>
            <w:r>
              <w:t xml:space="preserve"> Saturday </w:t>
            </w:r>
            <w:r>
              <w:lastRenderedPageBreak/>
              <w:t>&amp; Sunday  or 4</w:t>
            </w:r>
            <w:r w:rsidRPr="00686DC0">
              <w:rPr>
                <w:vertAlign w:val="superscript"/>
              </w:rPr>
              <w:t>th</w:t>
            </w:r>
            <w:r>
              <w:t xml:space="preserve"> Saturday &amp; Sunday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NFR-HMA-AVA-003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How must unplanned outages be communicated (status page, SMS to SROs, email, WhatsApp group, helpdesk)? Who owns the RACI?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Name channels + primary owner.</w:t>
            </w:r>
          </w:p>
        </w:tc>
        <w:tc>
          <w:tcPr>
            <w:tcW w:w="1461" w:type="dxa"/>
          </w:tcPr>
          <w:p w:rsidR="00740F64" w:rsidRDefault="00686DC0">
            <w:pPr>
              <w:spacing w:before="40" w:after="40"/>
            </w:pPr>
            <w:r>
              <w:t>Email All SR/DR/IGR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NFR-HMA-AVA-004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Is high availability required as active-active or active-passive for app, API and database? Any Karnataka SDC mandate?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Cite SDC / hosting standard if known.</w:t>
            </w:r>
          </w:p>
        </w:tc>
        <w:tc>
          <w:tcPr>
            <w:tcW w:w="1461" w:type="dxa"/>
            <w:shd w:val="clear" w:color="auto" w:fill="F2F2F2"/>
          </w:tcPr>
          <w:p w:rsidR="00740F64" w:rsidRDefault="00686DC0">
            <w:pPr>
              <w:spacing w:before="40" w:after="40"/>
            </w:pPr>
            <w:r>
              <w:t>Required like AOAG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NFR-OP-01</w:t>
            </w:r>
          </w:p>
        </w:tc>
        <w:tc>
          <w:tcPr>
            <w:tcW w:w="1461" w:type="dxa"/>
          </w:tcPr>
          <w:p w:rsidR="00740F64" w:rsidRPr="0080460E" w:rsidRDefault="00504D45">
            <w:pPr>
              <w:spacing w:before="40" w:after="40"/>
              <w:rPr>
                <w:strike/>
              </w:rPr>
            </w:pPr>
            <w:r w:rsidRPr="0080460E">
              <w:rPr>
                <w:rFonts w:ascii="Calibri" w:hAnsi="Calibri"/>
                <w:strike/>
                <w:sz w:val="16"/>
              </w:rPr>
              <w:t>Is there a separate availability target for peak seasons (e.g. auspicious marriage months</w:t>
            </w:r>
            <w:r w:rsidR="00154194">
              <w:rPr>
                <w:rFonts w:ascii="Calibri" w:hAnsi="Calibri"/>
                <w:strike/>
                <w:sz w:val="16"/>
              </w:rPr>
              <w:t>, auspicious day for property registration</w:t>
            </w:r>
            <w:r w:rsidRPr="0080460E">
              <w:rPr>
                <w:rFonts w:ascii="Calibri" w:hAnsi="Calibri"/>
                <w:strike/>
                <w:sz w:val="16"/>
              </w:rPr>
              <w:t>) vs normal months?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(specify) / No — same target year-round.</w:t>
            </w:r>
          </w:p>
        </w:tc>
        <w:tc>
          <w:tcPr>
            <w:tcW w:w="1461" w:type="dxa"/>
          </w:tcPr>
          <w:p w:rsidR="00740F64" w:rsidRDefault="009215C2">
            <w:pPr>
              <w:spacing w:before="40" w:after="40"/>
            </w:pPr>
            <w:r>
              <w:t>10:30 to 5:30 PM heavy load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5. Performance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§13.2 — latency, concurrency, volumes, eSign/print/DEO/appointment.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NFR-HMA-PERF-001</w:t>
            </w:r>
          </w:p>
        </w:tc>
        <w:tc>
          <w:tcPr>
            <w:tcW w:w="1461" w:type="dxa"/>
          </w:tcPr>
          <w:p w:rsidR="00740F64" w:rsidRDefault="00504D45" w:rsidP="0080460E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What </w:t>
            </w:r>
            <w:r w:rsidR="0080460E">
              <w:rPr>
                <w:rFonts w:ascii="Calibri" w:hAnsi="Calibri"/>
                <w:sz w:val="16"/>
              </w:rPr>
              <w:t>page</w:t>
            </w:r>
            <w:r>
              <w:rPr>
                <w:rFonts w:ascii="Calibri" w:hAnsi="Calibri"/>
                <w:sz w:val="16"/>
              </w:rPr>
              <w:t xml:space="preserve"> response-time targets (seconds) apply to: page browse, application submit, SRO scrutiny save, certificate PDF generation?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Suggested defaults to confirm/reject: browse ≤2s; submit ≤3s; PDF ≤5s.</w:t>
            </w:r>
          </w:p>
        </w:tc>
        <w:tc>
          <w:tcPr>
            <w:tcW w:w="1461" w:type="dxa"/>
          </w:tcPr>
          <w:p w:rsidR="00740F64" w:rsidRDefault="005767E0">
            <w:pPr>
              <w:spacing w:before="40" w:after="40"/>
            </w:pPr>
            <w:r>
              <w:t xml:space="preserve">All services </w:t>
            </w:r>
            <w:r w:rsidRPr="005767E0">
              <w:t>≤</w:t>
            </w:r>
            <w:r>
              <w:t>5s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peak co</w:t>
            </w:r>
            <w:r w:rsidR="005767E0">
              <w:rPr>
                <w:rFonts w:ascii="Calibri" w:hAnsi="Calibri"/>
                <w:sz w:val="16"/>
              </w:rPr>
              <w:t>ncurrent users must the All</w:t>
            </w:r>
            <w:r>
              <w:rPr>
                <w:rFonts w:ascii="Calibri" w:hAnsi="Calibri"/>
                <w:sz w:val="16"/>
              </w:rPr>
              <w:t xml:space="preserve"> module</w:t>
            </w:r>
            <w:r w:rsidR="005767E0">
              <w:rPr>
                <w:rFonts w:ascii="Calibri" w:hAnsi="Calibri"/>
                <w:sz w:val="16"/>
              </w:rPr>
              <w:t>s</w:t>
            </w:r>
            <w:r>
              <w:rPr>
                <w:rFonts w:ascii="Calibri" w:hAnsi="Calibri"/>
                <w:sz w:val="16"/>
              </w:rPr>
              <w:t xml:space="preserve"> support (citizen + SRO combined)? What share of overall Kaveri 3.0 concurrency is Marriage expected to consume?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Programme reference often ≥10,000 concurrent platform-wide — confirm module share.</w:t>
            </w:r>
          </w:p>
        </w:tc>
        <w:tc>
          <w:tcPr>
            <w:tcW w:w="1461" w:type="dxa"/>
            <w:shd w:val="clear" w:color="auto" w:fill="F2F2F2"/>
          </w:tcPr>
          <w:p w:rsidR="00740F64" w:rsidRDefault="005767E0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What are expected peak volumes for applications submitted, payments </w:t>
            </w:r>
            <w:r>
              <w:rPr>
                <w:rFonts w:ascii="Calibri" w:hAnsi="Calibri"/>
                <w:sz w:val="16"/>
              </w:rPr>
              <w:lastRenderedPageBreak/>
              <w:t>completed, and certificates issued (per hour and per day)? Provide Kaveri 2.0 baseline if available.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>Attach MIS extract or approximate numbers.</w:t>
            </w:r>
          </w:p>
        </w:tc>
        <w:tc>
          <w:tcPr>
            <w:tcW w:w="1461" w:type="dxa"/>
          </w:tcPr>
          <w:p w:rsidR="00740F64" w:rsidRDefault="00253417">
            <w:pPr>
              <w:spacing w:before="40" w:after="40"/>
            </w:pPr>
            <w:r>
              <w:t>TBD</w:t>
            </w:r>
          </w:p>
          <w:p w:rsidR="00253417" w:rsidRDefault="00253417">
            <w:pPr>
              <w:spacing w:before="40" w:after="40"/>
            </w:pPr>
            <w:r>
              <w:t xml:space="preserve">Get number of documents </w:t>
            </w:r>
            <w:r>
              <w:lastRenderedPageBreak/>
              <w:t>service wise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NFR-HMA-PERF-004</w:t>
            </w:r>
          </w:p>
        </w:tc>
        <w:tc>
          <w:tcPr>
            <w:tcW w:w="1461" w:type="dxa"/>
            <w:shd w:val="clear" w:color="auto" w:fill="F2F2F2"/>
          </w:tcPr>
          <w:p w:rsidR="00740F64" w:rsidRPr="00253417" w:rsidRDefault="00504D45">
            <w:pPr>
              <w:spacing w:before="40" w:after="40"/>
              <w:rPr>
                <w:strike/>
              </w:rPr>
            </w:pPr>
            <w:r w:rsidRPr="00253417">
              <w:rPr>
                <w:rFonts w:ascii="Calibri" w:hAnsi="Calibri"/>
                <w:strike/>
                <w:sz w:val="16"/>
              </w:rPr>
              <w:t>By which calendar day/time each month must Form III (monthly duplicate bundle to Registrar-General) complete?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proofErr w:type="gramStart"/>
            <w:r>
              <w:rPr>
                <w:rFonts w:ascii="Calibri" w:hAnsi="Calibri"/>
                <w:sz w:val="16"/>
              </w:rPr>
              <w:t>e.g</w:t>
            </w:r>
            <w:proofErr w:type="gramEnd"/>
            <w:r>
              <w:rPr>
                <w:rFonts w:ascii="Calibri" w:hAnsi="Calibri"/>
                <w:sz w:val="16"/>
              </w:rPr>
              <w:t>. by 05th of month 06:00 IST + buffer.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Is a formal performance / load-test gate mandatory before go-live? Who signs off pass/fail criteria?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/ No; name Perf Lead / PO.</w:t>
            </w:r>
          </w:p>
        </w:tc>
        <w:tc>
          <w:tcPr>
            <w:tcW w:w="1461" w:type="dxa"/>
          </w:tcPr>
          <w:p w:rsidR="00740F64" w:rsidRDefault="00253417">
            <w:pPr>
              <w:spacing w:before="40" w:after="40"/>
            </w:pPr>
            <w:r>
              <w:t>Yes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maximum eSign round-trip time and timeout/retry behaviour is acceptable when the eSign provider is slow or unavailable?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≤30s target; graceful retry; offline channel fallback message.</w:t>
            </w:r>
          </w:p>
        </w:tc>
        <w:tc>
          <w:tcPr>
            <w:tcW w:w="1461" w:type="dxa"/>
            <w:shd w:val="clear" w:color="auto" w:fill="F2F2F2"/>
          </w:tcPr>
          <w:p w:rsidR="00740F64" w:rsidRDefault="00253417">
            <w:pPr>
              <w:spacing w:before="40" w:after="40"/>
            </w:pPr>
            <w:r w:rsidRPr="00253417">
              <w:t>≤30s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NFR-HMA-PERF-007</w:t>
            </w:r>
          </w:p>
        </w:tc>
        <w:tc>
          <w:tcPr>
            <w:tcW w:w="1461" w:type="dxa"/>
          </w:tcPr>
          <w:p w:rsidR="00740F64" w:rsidRPr="005B2CF1" w:rsidRDefault="00504D45">
            <w:pPr>
              <w:spacing w:before="40" w:after="40"/>
              <w:rPr>
                <w:strike/>
              </w:rPr>
            </w:pPr>
            <w:r w:rsidRPr="005B2CF1">
              <w:rPr>
                <w:rFonts w:ascii="Calibri" w:hAnsi="Calibri"/>
                <w:strike/>
                <w:sz w:val="16"/>
              </w:rPr>
              <w:t>What maximum time is acceptable to generate bilingual (Kannada + English) printouts of Form I, II and 1A?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≤10s.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At peak counter hours, what DEO scan-upload throughput is required per office (files/hour) and what is the max file size / page count per upload?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files/hr; max MB; PDF/JPG allowed.</w:t>
            </w:r>
          </w:p>
        </w:tc>
        <w:tc>
          <w:tcPr>
            <w:tcW w:w="1461" w:type="dxa"/>
            <w:shd w:val="clear" w:color="auto" w:fill="F2F2F2"/>
          </w:tcPr>
          <w:p w:rsidR="00740F64" w:rsidRDefault="005B2CF1">
            <w:pPr>
              <w:spacing w:before="40" w:after="40"/>
            </w:pPr>
            <w:r>
              <w:t>Per page 200 KB, PDF, 200 dpi, black and white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P-09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NFR-HMA-PERF-009</w:t>
            </w:r>
          </w:p>
        </w:tc>
        <w:tc>
          <w:tcPr>
            <w:tcW w:w="1461" w:type="dxa"/>
          </w:tcPr>
          <w:p w:rsidR="00740F64" w:rsidRPr="005B2CF1" w:rsidRDefault="00504D45">
            <w:pPr>
              <w:spacing w:before="40" w:after="40"/>
              <w:rPr>
                <w:strike/>
              </w:rPr>
            </w:pPr>
            <w:r w:rsidRPr="005B2CF1">
              <w:rPr>
                <w:rFonts w:ascii="Calibri" w:hAnsi="Calibri"/>
                <w:strike/>
                <w:sz w:val="16"/>
              </w:rPr>
              <w:t>What response time is required for appointment slot search and booking under contention, and is double-booking strictly prohibited?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≤2s; no double-booking.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P-10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NFR-OP-12</w:t>
            </w:r>
          </w:p>
        </w:tc>
        <w:tc>
          <w:tcPr>
            <w:tcW w:w="1461" w:type="dxa"/>
            <w:shd w:val="clear" w:color="auto" w:fill="F2F2F2"/>
          </w:tcPr>
          <w:p w:rsidR="00740F64" w:rsidRPr="005B2CF1" w:rsidRDefault="00504D45">
            <w:pPr>
              <w:spacing w:before="40" w:after="40"/>
              <w:rPr>
                <w:strike/>
              </w:rPr>
            </w:pPr>
            <w:r w:rsidRPr="005B2CF1">
              <w:rPr>
                <w:rFonts w:ascii="Calibri" w:hAnsi="Calibri"/>
                <w:strike/>
                <w:sz w:val="16"/>
              </w:rPr>
              <w:t>What service-level turnaround is expected for Online SR verification, Offline Stage-1 verification, and Offline Stage-2 verification (working hours / working days)?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Define SLA per stage.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lastRenderedPageBreak/>
        <w:t>6. Scalability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§13.3 — growth of users, registrations, documents, integrations.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56"/>
        <w:gridCol w:w="1456"/>
        <w:gridCol w:w="1701"/>
        <w:gridCol w:w="1458"/>
        <w:gridCol w:w="1458"/>
        <w:gridCol w:w="1456"/>
        <w:gridCol w:w="1455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NFR-HMA-SCALE-001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is the expected growth in registered portal users / citizens for Y1, Y2, Y3 after go-live?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Absolute numbers or % YoY.</w:t>
            </w:r>
          </w:p>
        </w:tc>
        <w:tc>
          <w:tcPr>
            <w:tcW w:w="1461" w:type="dxa"/>
          </w:tcPr>
          <w:p w:rsidR="00740F64" w:rsidRDefault="003E0792">
            <w:pPr>
              <w:spacing w:before="40" w:after="40"/>
            </w:pPr>
            <w:r>
              <w:t>10% increase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NFR-HMA-SCALE-002</w:t>
            </w:r>
          </w:p>
        </w:tc>
        <w:tc>
          <w:tcPr>
            <w:tcW w:w="1461" w:type="dxa"/>
            <w:shd w:val="clear" w:color="auto" w:fill="F2F2F2"/>
          </w:tcPr>
          <w:p w:rsidR="00740F64" w:rsidRPr="003E0792" w:rsidRDefault="00504D45">
            <w:pPr>
              <w:spacing w:before="40" w:after="40"/>
              <w:rPr>
                <w:strike/>
              </w:rPr>
            </w:pPr>
            <w:r w:rsidRPr="003E0792">
              <w:rPr>
                <w:rFonts w:ascii="Calibri" w:hAnsi="Calibri"/>
                <w:strike/>
                <w:sz w:val="16"/>
              </w:rPr>
              <w:t>What is the expected volume of Hindu marriage registrations per year for Y1–Y3 (state-wide)? Any district-wise hotspots?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Use IGSR / historical volumes where possible.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NFR-HMA-SCALE-003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document/attachment storage growth is expected (photos, proofs, DEO scans) and for how many years must operational attachments be kept online vs archived?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GB/TB + retention years.</w:t>
            </w:r>
          </w:p>
        </w:tc>
        <w:tc>
          <w:tcPr>
            <w:tcW w:w="1461" w:type="dxa"/>
          </w:tcPr>
          <w:p w:rsidR="00740F64" w:rsidRDefault="003E0792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NFR-HMA-SCALE-004</w:t>
            </w:r>
          </w:p>
        </w:tc>
        <w:tc>
          <w:tcPr>
            <w:tcW w:w="1461" w:type="dxa"/>
            <w:shd w:val="clear" w:color="auto" w:fill="F2F2F2"/>
          </w:tcPr>
          <w:p w:rsidR="00740F64" w:rsidRPr="003E0792" w:rsidRDefault="00504D45">
            <w:pPr>
              <w:spacing w:before="40" w:after="40"/>
              <w:rPr>
                <w:strike/>
              </w:rPr>
            </w:pPr>
            <w:r w:rsidRPr="003E0792">
              <w:rPr>
                <w:rFonts w:ascii="Calibri" w:hAnsi="Calibri"/>
                <w:strike/>
                <w:sz w:val="16"/>
              </w:rPr>
              <w:t>What peak TPS / daily caps are expected for payment, Aadhaar/eKYC, DigiLocker, SMS and eSign integrations for this module?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Per integration if known; else “follow platform”.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NFR-HMA-SCALE-005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Must the architecture support horizontal scale-out of app/API and DB read replicas / partitioning as load grows, or is verti</w:t>
            </w:r>
            <w:r w:rsidR="003E0792">
              <w:rPr>
                <w:rFonts w:ascii="Calibri" w:hAnsi="Calibri"/>
                <w:sz w:val="16"/>
              </w:rPr>
              <w:t>cal scale sufficient</w:t>
            </w:r>
            <w:r>
              <w:rPr>
                <w:rFonts w:ascii="Calibri" w:hAnsi="Calibri"/>
                <w:sz w:val="16"/>
              </w:rPr>
              <w:t>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with Architecture / SDC.</w:t>
            </w:r>
          </w:p>
        </w:tc>
        <w:tc>
          <w:tcPr>
            <w:tcW w:w="1461" w:type="dxa"/>
          </w:tcPr>
          <w:p w:rsidR="00740F64" w:rsidRDefault="003E0792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7. Security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§13.4 — AuthN/AuthZ, encryption, hardening, eSign/DSC, DEO separation.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624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NFR-HMA-SEC-001 / NFR-OP-04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How must citizens authenticate (portal login, OTP, eKYC/Aadhaar as approved)? How must SRO / DEO / admin authenticate (department IdP / SSO)? Is MFA mandatory for privileged roles?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Describe mechanisms + MFA yes/no by role.</w:t>
            </w:r>
          </w:p>
        </w:tc>
        <w:tc>
          <w:tcPr>
            <w:tcW w:w="1461" w:type="dxa"/>
          </w:tcPr>
          <w:p w:rsidR="00740F64" w:rsidRDefault="005A765B">
            <w:pPr>
              <w:spacing w:before="40" w:after="40"/>
            </w:pPr>
            <w:r>
              <w:t>Password and OTP</w:t>
            </w:r>
          </w:p>
          <w:p w:rsidR="005A765B" w:rsidRDefault="005A765B">
            <w:pPr>
              <w:spacing w:before="40" w:after="40"/>
            </w:pPr>
          </w:p>
          <w:p w:rsidR="005A765B" w:rsidRDefault="005A765B">
            <w:pPr>
              <w:spacing w:before="40" w:after="40"/>
            </w:pPr>
            <w:r>
              <w:t>For department officials - Biometric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RBAC roles and jurisdiction scoping: Citizen, SRO, DEO, Admin, IGSR. Any additional roles?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Approve role matrix in workshop.</w:t>
            </w:r>
          </w:p>
        </w:tc>
        <w:tc>
          <w:tcPr>
            <w:tcW w:w="1461" w:type="dxa"/>
            <w:shd w:val="clear" w:color="auto" w:fill="F2F2F2"/>
          </w:tcPr>
          <w:p w:rsidR="00740F64" w:rsidRDefault="00DF75A9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lastRenderedPageBreak/>
              <w:t>SEC-03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encryption: TLS version minimum for transit; encryption-at-rest standard for PII, documents and certificates.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TLS 1.2+; SDC disk/DB encryption.</w:t>
            </w:r>
          </w:p>
        </w:tc>
        <w:tc>
          <w:tcPr>
            <w:tcW w:w="1461" w:type="dxa"/>
          </w:tcPr>
          <w:p w:rsidR="00740F64" w:rsidRDefault="00DF75A9">
            <w:pPr>
              <w:spacing w:before="40" w:after="40"/>
            </w:pPr>
            <w:r>
              <w:t>SSL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Where must secrets (DB creds, API keys, certificates) be stored? Is a vault / SDC secret store mandatory?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Name standard tool.</w:t>
            </w:r>
          </w:p>
        </w:tc>
        <w:tc>
          <w:tcPr>
            <w:tcW w:w="1461" w:type="dxa"/>
            <w:shd w:val="clear" w:color="auto" w:fill="F2F2F2"/>
          </w:tcPr>
          <w:p w:rsidR="00740F64" w:rsidRDefault="00DF75A9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Which hardening baseline applies (MeitY / CERT-In / SDC): OS, containers, WAF, SSL, privileged access?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Cite policy documents.</w:t>
            </w:r>
          </w:p>
        </w:tc>
        <w:tc>
          <w:tcPr>
            <w:tcW w:w="1461" w:type="dxa"/>
          </w:tcPr>
          <w:p w:rsidR="00740F64" w:rsidRDefault="00DF75A9">
            <w:pPr>
              <w:spacing w:before="40" w:after="40"/>
            </w:pPr>
            <w:r>
              <w:t>Policy documents should be added (TBD)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vulnerability scan cadence and patch SLAs (Critical / High / Medium) are required? Are third-party / CERT-In / STQC audits mandatory before go-live?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Cadence + SLA days + audit path.</w:t>
            </w:r>
          </w:p>
        </w:tc>
        <w:tc>
          <w:tcPr>
            <w:tcW w:w="1461" w:type="dxa"/>
            <w:shd w:val="clear" w:color="auto" w:fill="F2F2F2"/>
          </w:tcPr>
          <w:p w:rsidR="00740F64" w:rsidRDefault="00DF75A9">
            <w:pPr>
              <w:spacing w:before="40" w:after="40"/>
            </w:pPr>
            <w:r>
              <w:t>VAPT is mandatory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NFR-HMA-SEC-007 / NFR-OP-06</w:t>
            </w:r>
          </w:p>
        </w:tc>
        <w:tc>
          <w:tcPr>
            <w:tcW w:w="1461" w:type="dxa"/>
          </w:tcPr>
          <w:p w:rsidR="00740F64" w:rsidRPr="00DF75A9" w:rsidRDefault="00504D45">
            <w:pPr>
              <w:spacing w:before="40" w:after="40"/>
              <w:rPr>
                <w:strike/>
              </w:rPr>
            </w:pPr>
            <w:r w:rsidRPr="00DF75A9">
              <w:rPr>
                <w:rFonts w:ascii="Calibri" w:hAnsi="Calibri"/>
                <w:strike/>
                <w:sz w:val="16"/>
              </w:rPr>
              <w:t>What integrity features are required on Form II-A certificates (QR code, digital seal, hash, public verification URL)?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Select approach and verification UX.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NFR-HMA-SEC-008</w:t>
            </w:r>
          </w:p>
        </w:tc>
        <w:tc>
          <w:tcPr>
            <w:tcW w:w="1461" w:type="dxa"/>
            <w:shd w:val="clear" w:color="auto" w:fill="F2F2F2"/>
          </w:tcPr>
          <w:p w:rsidR="00740F64" w:rsidRPr="00DF75A9" w:rsidRDefault="00504D45">
            <w:pPr>
              <w:spacing w:before="40" w:after="40"/>
              <w:rPr>
                <w:strike/>
              </w:rPr>
            </w:pPr>
            <w:r w:rsidRPr="00DF75A9">
              <w:rPr>
                <w:rFonts w:ascii="Calibri" w:hAnsi="Calibri"/>
                <w:strike/>
                <w:sz w:val="16"/>
              </w:rPr>
              <w:t>Confirm Aadhaar / eKYC usage scope for Marriage registration and UIDAI-compliant handling constraints.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In / out of scope; masking rules.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SEC-09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NFR-HMA-SEC-009 / NFR-OP-09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Which eSign provider will be used? What integrity / verifiability / audit requirements apply? What is the fallback if eSign is down?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Provider + SLA + contingency.</w:t>
            </w:r>
          </w:p>
        </w:tc>
        <w:tc>
          <w:tcPr>
            <w:tcW w:w="1461" w:type="dxa"/>
          </w:tcPr>
          <w:p w:rsidR="00740F64" w:rsidRDefault="00DF75A9">
            <w:pPr>
              <w:spacing w:before="40" w:after="40"/>
            </w:pPr>
            <w:r>
              <w:t>e-Governance, Karnataka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NFR-HMA-SEC-010 / NFR-OP-10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is the DSC custody process for Sub-Registrars (issuance, storage, expiry monitoring, revocation on transfer/retirement)?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Describe Ops process owner.</w:t>
            </w:r>
          </w:p>
        </w:tc>
        <w:tc>
          <w:tcPr>
            <w:tcW w:w="1461" w:type="dxa"/>
            <w:shd w:val="clear" w:color="auto" w:fill="F2F2F2"/>
          </w:tcPr>
          <w:p w:rsidR="00740F64" w:rsidRDefault="00DF75A9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SEC-11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NFR-HMA-SEC-011</w:t>
            </w:r>
          </w:p>
        </w:tc>
        <w:tc>
          <w:tcPr>
            <w:tcW w:w="1461" w:type="dxa"/>
          </w:tcPr>
          <w:p w:rsidR="00740F64" w:rsidRPr="00DF75A9" w:rsidRDefault="00504D45">
            <w:pPr>
              <w:spacing w:before="40" w:after="40"/>
              <w:rPr>
                <w:strike/>
              </w:rPr>
            </w:pPr>
            <w:r w:rsidRPr="00DF75A9">
              <w:rPr>
                <w:rFonts w:ascii="Calibri" w:hAnsi="Calibri"/>
                <w:strike/>
                <w:sz w:val="16"/>
              </w:rPr>
              <w:t>Confirm DEO must not be able to approve, register or digitally sign — upload and signature-check only. Any exception?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enforce / exception: ___.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SEC-12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NFR-HMA-SEC-012</w:t>
            </w:r>
          </w:p>
        </w:tc>
        <w:tc>
          <w:tcPr>
            <w:tcW w:w="1461" w:type="dxa"/>
            <w:shd w:val="clear" w:color="auto" w:fill="F2F2F2"/>
          </w:tcPr>
          <w:p w:rsidR="00740F64" w:rsidRPr="00DF75A9" w:rsidRDefault="00504D45">
            <w:pPr>
              <w:spacing w:before="40" w:after="40"/>
              <w:rPr>
                <w:strike/>
              </w:rPr>
            </w:pPr>
            <w:r w:rsidRPr="00DF75A9">
              <w:rPr>
                <w:rFonts w:ascii="Calibri" w:hAnsi="Calibri"/>
                <w:strike/>
                <w:sz w:val="16"/>
              </w:rPr>
              <w:t>Is antivirus / malware scanning mandatory for all DEO-uploaded scans before storage and SR viewing?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/ No; tool preference.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8. Privacy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§13.5 — PII inventory, masking, retention, non-prod data.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PR-01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NFR-HMA-PRIV-001</w:t>
            </w:r>
          </w:p>
        </w:tc>
        <w:tc>
          <w:tcPr>
            <w:tcW w:w="1461" w:type="dxa"/>
          </w:tcPr>
          <w:p w:rsidR="00740F64" w:rsidRPr="00323B9F" w:rsidRDefault="00504D45">
            <w:pPr>
              <w:spacing w:before="40" w:after="40"/>
              <w:rPr>
                <w:strike/>
              </w:rPr>
            </w:pPr>
            <w:r w:rsidRPr="00323B9F">
              <w:rPr>
                <w:rFonts w:ascii="Calibri" w:hAnsi="Calibri"/>
                <w:strike/>
                <w:sz w:val="16"/>
              </w:rPr>
              <w:t>Please confirm / complete the PII inventory for Marriage: parties, witnesses, Aadhaar refs, photos, addresses, contact numbers, bank/payment refs. Any additional sensitive fields?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List extras or “complete as listed”.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PR-02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NFR-HMA-PRIV-002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Which fields must be masked by default in UI, logs, support tools and non-prod (e.g. Aadhaar, mobile, email)?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Masking pattern (e.g. XXXX-XXXX-1234).</w:t>
            </w:r>
          </w:p>
        </w:tc>
        <w:tc>
          <w:tcPr>
            <w:tcW w:w="1461" w:type="dxa"/>
            <w:shd w:val="clear" w:color="auto" w:fill="F2F2F2"/>
          </w:tcPr>
          <w:p w:rsidR="00740F64" w:rsidRDefault="00323B9F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PR-03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NFR-HMA-PRIV-003 / NFR-OP-05</w:t>
            </w:r>
          </w:p>
        </w:tc>
        <w:tc>
          <w:tcPr>
            <w:tcW w:w="1461" w:type="dxa"/>
          </w:tcPr>
          <w:p w:rsidR="00740F64" w:rsidRPr="00323B9F" w:rsidRDefault="00504D45">
            <w:pPr>
              <w:spacing w:before="40" w:after="40"/>
              <w:rPr>
                <w:strike/>
              </w:rPr>
            </w:pPr>
            <w:r w:rsidRPr="00323B9F">
              <w:rPr>
                <w:rFonts w:ascii="Calibri" w:hAnsi="Calibri"/>
                <w:strike/>
                <w:sz w:val="16"/>
              </w:rPr>
              <w:t>Confirm: statutory Hindu Marriage registers are permanent (Rule 10(2)). What retention applies to operational logs, attachments, drafts, rejected applications and payment artefacts?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Years / purge rules / archive policy.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PR-04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NFR-HMA-PRIV-004</w:t>
            </w:r>
          </w:p>
        </w:tc>
        <w:tc>
          <w:tcPr>
            <w:tcW w:w="1461" w:type="dxa"/>
            <w:shd w:val="clear" w:color="auto" w:fill="F2F2F2"/>
          </w:tcPr>
          <w:p w:rsidR="00740F64" w:rsidRPr="00323B9F" w:rsidRDefault="00504D45">
            <w:pPr>
              <w:spacing w:before="40" w:after="40"/>
              <w:rPr>
                <w:strike/>
              </w:rPr>
            </w:pPr>
            <w:r w:rsidRPr="00323B9F">
              <w:rPr>
                <w:rFonts w:ascii="Calibri" w:hAnsi="Calibri"/>
                <w:strike/>
                <w:sz w:val="16"/>
              </w:rPr>
              <w:t>Who may export bulk PII / certificates? What approval path is required for MIS extracts containing personal data?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Role + approval authority.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PR-05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NFR-HMA-PRIV-005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May production PII be copied to UAT/training environments, or must non-prod use anonymized / synthetic data only?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Policy: anonymized only / approved exceptions.</w:t>
            </w:r>
          </w:p>
        </w:tc>
        <w:tc>
          <w:tcPr>
            <w:tcW w:w="1461" w:type="dxa"/>
          </w:tcPr>
          <w:p w:rsidR="00740F64" w:rsidRDefault="00323B9F">
            <w:pPr>
              <w:spacing w:before="40" w:after="40"/>
            </w:pPr>
            <w:r>
              <w:t>YES after approvals (scrambled data)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9. Audit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§13.6 — audit events, evidence, retention, channel/eSign/DEO specifics.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9"/>
        <w:gridCol w:w="1036"/>
        <w:gridCol w:w="2071"/>
        <w:gridCol w:w="1246"/>
        <w:gridCol w:w="3072"/>
        <w:gridCol w:w="1068"/>
        <w:gridCol w:w="978"/>
      </w:tblGrid>
      <w:tr w:rsidR="00504D45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504D45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Confirm immutable audit is required for status changes, </w:t>
            </w:r>
            <w:r>
              <w:rPr>
                <w:rFonts w:ascii="Calibri" w:hAnsi="Calibri"/>
                <w:sz w:val="16"/>
              </w:rPr>
              <w:lastRenderedPageBreak/>
              <w:t>SRO scrutiny, approvals/rejections and fee events. Any additional business events?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 xml:space="preserve">Append-only / WORM </w:t>
            </w:r>
            <w:r>
              <w:rPr>
                <w:rFonts w:ascii="Calibri" w:hAnsi="Calibri"/>
                <w:sz w:val="16"/>
              </w:rPr>
              <w:lastRenderedPageBreak/>
              <w:t>expectation.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lastRenderedPageBreak/>
              <w:t>WORM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504D45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NFR-HMA-AUD-002</w:t>
            </w:r>
          </w:p>
        </w:tc>
        <w:tc>
          <w:tcPr>
            <w:tcW w:w="1461" w:type="dxa"/>
            <w:shd w:val="clear" w:color="auto" w:fill="F2F2F2"/>
          </w:tcPr>
          <w:p w:rsidR="00740F64" w:rsidRPr="00504D45" w:rsidRDefault="00504D45">
            <w:pPr>
              <w:spacing w:before="40" w:after="40"/>
              <w:rPr>
                <w:strike/>
              </w:rPr>
            </w:pPr>
            <w:r w:rsidRPr="00504D45">
              <w:rPr>
                <w:rFonts w:ascii="Calibri" w:hAnsi="Calibri"/>
                <w:strike/>
                <w:sz w:val="16"/>
              </w:rPr>
              <w:t>Must certificate issuance, reprint/duplicate and corrections each create a separate auditable event linked to Form II-A?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/ No.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504D45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 w:rsidRPr="00504D45">
              <w:rPr>
                <w:rFonts w:ascii="Calibri" w:hAnsi="Calibri"/>
                <w:sz w:val="16"/>
                <w:highlight w:val="yellow"/>
              </w:rPr>
              <w:t>What retention period applies to login, privilege-change and configuration-change audits for SRO and admin accounts?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Years / align to security policy.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504D45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In what format must audit evidence be available for departmental / AG / security audits (export, report, SIEM)?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Name preferred format / consumers.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t>Excel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504D45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audit MIS cadence is required (daily/weekly/monthly) and who owns reporting?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Cadence + owner.</w:t>
            </w:r>
          </w:p>
        </w:tc>
        <w:tc>
          <w:tcPr>
            <w:tcW w:w="1461" w:type="dxa"/>
          </w:tcPr>
          <w:p w:rsidR="00740F64" w:rsidRDefault="00504D45" w:rsidP="00504D45">
            <w:pPr>
              <w:spacing w:before="40" w:after="40"/>
            </w:pPr>
            <w:r>
              <w:t>Daily/weekly/monthly/yearly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504D45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AU-06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NFR-HMA-AUD-006–010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audit is mandatory for: channel selection/change; eSign &amp; SR DSC; DEO check/upload versions; both Offline SR verification stages; appointment book/reschedule/cancel/no-show.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all / list exclusions.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t>TBD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10. Disaster recovery (DR)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§13.7 — RPO, RTO, topology, failover, backup.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DR-01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NFR-HMA-DR-001 / NFR-OP-03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Recovery Point Objective (RPO) is required for Marriage data (applications, payments, registers, certificates, scans)?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≤15 min / ≤1 hour / Other.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DR-02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NFR-HMA-DR-002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Recovery Time Objective (RTO) is required to restore citizen and SRO services after a major outage?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≤4 h / ≤8 h / Other.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DR-03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NFR-HMA-DR-003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DR topology applies (primary + DR site, replication mode)? Does Marriage inherit Karnataka SDC DR design unchanged?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Cite SDC design if applicable.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lastRenderedPageBreak/>
              <w:t>DR-04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NFR-HMA-DR-004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Should failover be automatic or manual? Who has authority to declare DR and initiate failover?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Auto / Manual + decision authority.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DR-05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NFR-HMA-DR-005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failback and data-reconciliation expectations apply after DR (especially in-flight payments, eSign and DEO uploads)?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Describe critical reconciliation points.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DR-06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NFR-HMA-DR-006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backup schedule and restore-test frequency are required? Must evidence of last successful restore be retained?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e.g. daily full + continuous WAL; quarterly restore drill.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11. Operations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§13.8 — support model, monitoring, incidents, ownership.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642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NFR-HMA-OPS-001 / NFR-OP-07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L1 / L2 / L3 support model, hours of cover (IST) and escalation matrix are required for citizen and SRO issues?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Hours, channels (phone/email/portal), SLAs.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t>TBD, escalation matrix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Which components must be monitored in dashboards (app health, API latency/errors, DB, payment, eSign, SMS, certificate jobs, appointment)?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list + add extras.</w:t>
            </w:r>
          </w:p>
        </w:tc>
        <w:tc>
          <w:tcPr>
            <w:tcW w:w="1461" w:type="dxa"/>
            <w:shd w:val="clear" w:color="auto" w:fill="F2F2F2"/>
          </w:tcPr>
          <w:p w:rsidR="00740F64" w:rsidRDefault="0086391F">
            <w:pPr>
              <w:spacing w:before="40" w:after="40"/>
            </w:pPr>
            <w:r>
              <w:t>Yes, all components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alert severity matrix and acknowledgment SLAs apply (Critical / High / Medium / Low)?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Ack times per severity.</w:t>
            </w:r>
          </w:p>
        </w:tc>
        <w:tc>
          <w:tcPr>
            <w:tcW w:w="1461" w:type="dxa"/>
          </w:tcPr>
          <w:p w:rsidR="00740F64" w:rsidRDefault="0086391F" w:rsidP="0086391F">
            <w:pPr>
              <w:spacing w:before="40" w:after="40"/>
            </w:pPr>
            <w:r>
              <w:t>Component specific, TBD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incident response expectations: classify, contain, communicate, RCA, post-incident review. Any department-specific ITIL deviations?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follow ITIL / deviations: ___.</w:t>
            </w:r>
          </w:p>
        </w:tc>
        <w:tc>
          <w:tcPr>
            <w:tcW w:w="1461" w:type="dxa"/>
            <w:shd w:val="clear" w:color="auto" w:fill="F2F2F2"/>
          </w:tcPr>
          <w:p w:rsidR="00740F64" w:rsidRDefault="0086391F">
            <w:pPr>
              <w:spacing w:before="40" w:after="40"/>
            </w:pPr>
            <w:r>
              <w:t>Yes RCA required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NFR-HMA-OPS-005</w:t>
            </w:r>
          </w:p>
        </w:tc>
        <w:tc>
          <w:tcPr>
            <w:tcW w:w="1461" w:type="dxa"/>
          </w:tcPr>
          <w:p w:rsidR="00740F64" w:rsidRDefault="00504D45" w:rsidP="0086391F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Name the service owner, application owner, </w:t>
            </w:r>
            <w:r>
              <w:rPr>
                <w:rFonts w:ascii="Calibri" w:hAnsi="Calibri"/>
                <w:sz w:val="16"/>
              </w:rPr>
              <w:lastRenderedPageBreak/>
              <w:t xml:space="preserve">infrastructure owner and data owner for </w:t>
            </w:r>
            <w:r w:rsidR="0086391F">
              <w:rPr>
                <w:rFonts w:ascii="Calibri" w:hAnsi="Calibri"/>
                <w:sz w:val="16"/>
              </w:rPr>
              <w:t>all</w:t>
            </w:r>
            <w:r>
              <w:rPr>
                <w:rFonts w:ascii="Calibri" w:hAnsi="Calibri"/>
                <w:sz w:val="16"/>
              </w:rPr>
              <w:t xml:space="preserve"> module.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>Four named roles/orgs.</w:t>
            </w:r>
          </w:p>
        </w:tc>
        <w:tc>
          <w:tcPr>
            <w:tcW w:w="1461" w:type="dxa"/>
          </w:tcPr>
          <w:p w:rsidR="00740F64" w:rsidRDefault="0086391F">
            <w:pPr>
              <w:spacing w:before="40" w:after="40"/>
            </w:pPr>
            <w:r>
              <w:t>KAVERI IT Cell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OP-06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NFR-HMA-OPS-006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Are runbooks mandatory before go-live for submit, pay, register, certificate issue, DEO upload, appointment and restore?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(pack complete) / prioritized subset.</w:t>
            </w:r>
          </w:p>
        </w:tc>
        <w:tc>
          <w:tcPr>
            <w:tcW w:w="1461" w:type="dxa"/>
            <w:shd w:val="clear" w:color="auto" w:fill="F2F2F2"/>
          </w:tcPr>
          <w:p w:rsidR="00740F64" w:rsidRDefault="0086391F">
            <w:pPr>
              <w:spacing w:before="40" w:after="40"/>
            </w:pPr>
            <w:r>
              <w:t>Yes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12. Capacity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§13.9 — compute, memory, storage, DB, network sizing.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NFR-HMA-CAP-001 / NFR-OP-08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compute sizing assumptions (vCPU / nodes / workers) should Archit</w:t>
            </w:r>
            <w:bookmarkStart w:id="0" w:name="_GoBack"/>
            <w:bookmarkEnd w:id="0"/>
            <w:r>
              <w:rPr>
                <w:rFonts w:ascii="Calibri" w:hAnsi="Calibri"/>
                <w:sz w:val="16"/>
              </w:rPr>
              <w:t>ecture use for peak + headroom at go-live?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Provide numbers or “SDC to size from Perf targets”.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memory sizing assumptions (GB per tier) apply?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App / API / DB.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NFR-HMA-CAP-003 / NFR-OP-11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What storage capacity (DB + object store for documents/scans) is required for Y1–Y3, including Offline DEO scan growth?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TB + growth %.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Any database constraints to plan for (max connections, IOPS, HA/replica footprint)?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Numbers or SDC defaults.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Any network bandwidth / latency requirements between SRO offices, SDC, DR and integration endpoints?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Especially for scan upload peak hours.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CA-06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NFR-HMA-CAP-006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How often must capacity be reviewed (quarterly / before peak seasons)? Who chairs the review?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Cadence + chair.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lastRenderedPageBreak/>
        <w:t>13. Compliance</w:t>
      </w:r>
    </w:p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BRD §13.10 — GIGW, WCAG, MeitY/CERT-In, STQC, localization, statutory forms.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636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Is GIGW compliance mandatory for all citizen-facing Marriage screens? Who signs the checklist?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/ No; sign-off role.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Which WCAG level is required (A / AA / AAA) and for which channels (citizen portal, SRO desk, PDFs)?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Preferred: AA for citizen portal.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MeitY / CERT-In security guidelines and advisories apply; any additional Karnataka e-Gov norms?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List extra norms.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Is STQC / hosting / security clearance required before go-live? What is the clearance path and timeline?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Path + responsible party.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Aadhaar/UIDAI and Karnataka hosting/security norms that must be evidenced at go-live.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Evidence artefacts expected.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bilingual requirement: Kannada + English UI and Kannada fonts on screen and on PDF certificates/printouts. Any other languages?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Languages list.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Confirm: statutory form wording (Form I, IA, II, II-A, III, VI) must not change without Legal / Domain Expert approval.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Yes / process for exceptions.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CO-08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NFR-HMA-COMP-008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Which government records / archival policies must registers and audit evidence align to?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Cite policy names.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14. Priority open decisions (from BRD §13.11)</w:t>
      </w:r>
    </w:p>
    <w:p w:rsidR="00740F64" w:rsidRDefault="00504D45">
      <w:pPr>
        <w:spacing w:after="120"/>
      </w:pPr>
      <w:r>
        <w:rPr>
          <w:rFonts w:ascii="Calibri" w:hAnsi="Calibri"/>
          <w:i/>
          <w:sz w:val="20"/>
        </w:rPr>
        <w:t>Use this shortlist if workshop time is limited — these map to NFR-OP-01…12.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 w:rsidR="00740F64">
        <w:trPr>
          <w:jc w:val="center"/>
        </w:trPr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Q#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NFR ID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Question for client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Guidance / options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Client response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Owner</w:t>
            </w:r>
          </w:p>
        </w:tc>
        <w:tc>
          <w:tcPr>
            <w:tcW w:w="1461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6"/>
              </w:rPr>
              <w:t>Due</w:t>
            </w: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 xml:space="preserve">Confirm </w:t>
            </w:r>
            <w:r>
              <w:rPr>
                <w:rFonts w:ascii="Calibri" w:hAnsi="Calibri"/>
                <w:sz w:val="16"/>
              </w:rPr>
              <w:lastRenderedPageBreak/>
              <w:t>availability % and maintenance window with SDC / Ops.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lastRenderedPageBreak/>
              <w:t xml:space="preserve">Must decide </w:t>
            </w:r>
            <w:r>
              <w:rPr>
                <w:rFonts w:ascii="Calibri" w:hAnsi="Calibri"/>
                <w:sz w:val="16"/>
              </w:rPr>
              <w:lastRenderedPageBreak/>
              <w:t>before SLA wording in BRD.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p95 latency, concurrency and peak TPS from Kaveri 2.0 + growth.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Drives Perf test &amp; capacity.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NFR-OP-03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RPO / RTO and whether SDC DR standard is inherited.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Drives architecture.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NFR-OP-04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citizen + SRO AuthN and MFA for privileged roles.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Security design gate.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NFR-OP-05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PII retention beyond permanent registers.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Legal + DBA.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NFR-OP-06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Form II-A QR / digital seal approach.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Product + Security.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NFR-OP-07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L1/L2/L3 hours and incident SLAs.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Support model.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NFR-OP-08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go-live capacity numbers.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Infra worksheet.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OD-09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NFR-OP-09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eSign provider, SLA and fallback.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Integration contingency.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NFR-OP-10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DSC provisioning &amp; expiry monitoring for all SRs.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Ops process.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OD-11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NFR-OP-11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storage growth from Offline DEO scans.</w:t>
            </w:r>
          </w:p>
        </w:tc>
        <w:tc>
          <w:tcPr>
            <w:tcW w:w="1461" w:type="dxa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Capacity model.</w:t>
            </w: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</w:tcPr>
          <w:p w:rsidR="00740F64" w:rsidRDefault="00740F64">
            <w:pPr>
              <w:spacing w:before="40" w:after="40"/>
            </w:pPr>
          </w:p>
        </w:tc>
      </w:tr>
      <w:tr w:rsidR="00740F64">
        <w:trPr>
          <w:jc w:val="center"/>
        </w:trPr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OD-12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b/>
                <w:sz w:val="16"/>
              </w:rPr>
              <w:t>NFR-OP-12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Confirm SLA per verification stage (Online / Offline 1 / Offline 2).</w:t>
            </w:r>
          </w:p>
        </w:tc>
        <w:tc>
          <w:tcPr>
            <w:tcW w:w="1461" w:type="dxa"/>
            <w:shd w:val="clear" w:color="auto" w:fill="F2F2F2"/>
          </w:tcPr>
          <w:p w:rsidR="00740F64" w:rsidRDefault="00504D45">
            <w:pPr>
              <w:spacing w:before="40" w:after="40"/>
            </w:pPr>
            <w:r>
              <w:rPr>
                <w:rFonts w:ascii="Calibri" w:hAnsi="Calibri"/>
                <w:sz w:val="16"/>
              </w:rPr>
              <w:t>Service standard.</w:t>
            </w: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  <w:tc>
          <w:tcPr>
            <w:tcW w:w="1461" w:type="dxa"/>
            <w:shd w:val="clear" w:color="auto" w:fill="F2F2F2"/>
          </w:tcPr>
          <w:p w:rsidR="00740F64" w:rsidRDefault="00740F64">
            <w:pPr>
              <w:spacing w:before="40" w:after="40"/>
            </w:pPr>
          </w:p>
        </w:tc>
      </w:tr>
    </w:tbl>
    <w:p w:rsidR="00740F64" w:rsidRDefault="00740F64"/>
    <w:p w:rsidR="00740F64" w:rsidRDefault="00504D45">
      <w:pPr>
        <w:pStyle w:val="Heading1"/>
      </w:pPr>
      <w:r>
        <w:rPr>
          <w:color w:val="1F4E79"/>
        </w:rPr>
        <w:t>15. Workshop attendees &amp;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740F64">
        <w:tc>
          <w:tcPr>
            <w:tcW w:w="2556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8"/>
              </w:rPr>
              <w:t>Role</w:t>
            </w:r>
          </w:p>
        </w:tc>
        <w:tc>
          <w:tcPr>
            <w:tcW w:w="2556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8"/>
              </w:rPr>
              <w:t>Name</w:t>
            </w:r>
          </w:p>
        </w:tc>
        <w:tc>
          <w:tcPr>
            <w:tcW w:w="2556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8"/>
              </w:rPr>
              <w:t>Organisation</w:t>
            </w:r>
          </w:p>
        </w:tc>
        <w:tc>
          <w:tcPr>
            <w:tcW w:w="2556" w:type="dxa"/>
            <w:shd w:val="clear" w:color="auto" w:fill="1F4E79"/>
          </w:tcPr>
          <w:p w:rsidR="00740F64" w:rsidRDefault="00504D45">
            <w:r>
              <w:rPr>
                <w:rFonts w:ascii="Calibri" w:hAnsi="Calibri"/>
                <w:b/>
                <w:color w:val="FFFFFF"/>
                <w:sz w:val="18"/>
              </w:rPr>
              <w:t>Signature / Date</w:t>
            </w:r>
          </w:p>
        </w:tc>
      </w:tr>
      <w:tr w:rsidR="00740F64">
        <w:tc>
          <w:tcPr>
            <w:tcW w:w="2556" w:type="dxa"/>
          </w:tcPr>
          <w:p w:rsidR="00740F64" w:rsidRDefault="00504D45">
            <w:r>
              <w:rPr>
                <w:rFonts w:ascii="Calibri" w:hAnsi="Calibri"/>
                <w:sz w:val="18"/>
              </w:rPr>
              <w:t>Product Owner</w:t>
            </w:r>
          </w:p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</w:tr>
      <w:tr w:rsidR="00740F64">
        <w:tc>
          <w:tcPr>
            <w:tcW w:w="2556" w:type="dxa"/>
          </w:tcPr>
          <w:p w:rsidR="00740F64" w:rsidRDefault="00504D45">
            <w:r>
              <w:rPr>
                <w:rFonts w:ascii="Calibri" w:hAnsi="Calibri"/>
                <w:sz w:val="18"/>
              </w:rPr>
              <w:t>Domain Expert / IGSR nominee</w:t>
            </w:r>
          </w:p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</w:tr>
      <w:tr w:rsidR="00740F64">
        <w:tc>
          <w:tcPr>
            <w:tcW w:w="2556" w:type="dxa"/>
          </w:tcPr>
          <w:p w:rsidR="00740F64" w:rsidRDefault="00504D45">
            <w:r>
              <w:rPr>
                <w:rFonts w:ascii="Calibri" w:hAnsi="Calibri"/>
                <w:sz w:val="18"/>
              </w:rPr>
              <w:t>Architecture / SDC</w:t>
            </w:r>
          </w:p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</w:tr>
      <w:tr w:rsidR="00740F64">
        <w:tc>
          <w:tcPr>
            <w:tcW w:w="2556" w:type="dxa"/>
          </w:tcPr>
          <w:p w:rsidR="00740F64" w:rsidRDefault="00504D45">
            <w:r>
              <w:rPr>
                <w:rFonts w:ascii="Calibri" w:hAnsi="Calibri"/>
                <w:sz w:val="18"/>
              </w:rPr>
              <w:t>Security</w:t>
            </w:r>
          </w:p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</w:tr>
      <w:tr w:rsidR="00740F64">
        <w:tc>
          <w:tcPr>
            <w:tcW w:w="2556" w:type="dxa"/>
          </w:tcPr>
          <w:p w:rsidR="00740F64" w:rsidRDefault="00504D45">
            <w:r>
              <w:rPr>
                <w:rFonts w:ascii="Calibri" w:hAnsi="Calibri"/>
                <w:sz w:val="18"/>
              </w:rPr>
              <w:t>Operations / Support</w:t>
            </w:r>
          </w:p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  <w:tc>
          <w:tcPr>
            <w:tcW w:w="2556" w:type="dxa"/>
          </w:tcPr>
          <w:p w:rsidR="00740F64" w:rsidRDefault="00740F64"/>
        </w:tc>
      </w:tr>
    </w:tbl>
    <w:p w:rsidR="00740F64" w:rsidRDefault="00740F64"/>
    <w:p w:rsidR="00740F64" w:rsidRDefault="00504D45">
      <w:pPr>
        <w:spacing w:after="120"/>
      </w:pPr>
      <w:r>
        <w:rPr>
          <w:rFonts w:ascii="Calibri" w:hAnsi="Calibri"/>
          <w:i/>
          <w:sz w:val="18"/>
        </w:rPr>
        <w:t>End of questionnaire — return completed responses to BA for update of BRD-K3-MRG-HMA-001 §13.</w:t>
      </w:r>
    </w:p>
    <w:sectPr w:rsidR="00740F64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54194"/>
    <w:rsid w:val="00253417"/>
    <w:rsid w:val="0029639D"/>
    <w:rsid w:val="00323B9F"/>
    <w:rsid w:val="00326F90"/>
    <w:rsid w:val="003E0792"/>
    <w:rsid w:val="00504D45"/>
    <w:rsid w:val="005767E0"/>
    <w:rsid w:val="005A765B"/>
    <w:rsid w:val="005B2CF1"/>
    <w:rsid w:val="00686DC0"/>
    <w:rsid w:val="00740F64"/>
    <w:rsid w:val="0080460E"/>
    <w:rsid w:val="0086391F"/>
    <w:rsid w:val="009215C2"/>
    <w:rsid w:val="00AA1D8D"/>
    <w:rsid w:val="00B47730"/>
    <w:rsid w:val="00CB0664"/>
    <w:rsid w:val="00DF75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F62EA9"/>
  <w14:defaultImageDpi w14:val="300"/>
  <w15:docId w15:val="{1350C06D-E230-420E-B170-B979309B9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27DCD63-BE00-433E-B728-814BCE2B65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11</Pages>
  <Words>2657</Words>
  <Characters>15148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13</cp:revision>
  <dcterms:created xsi:type="dcterms:W3CDTF">2013-12-23T23:15:00Z</dcterms:created>
  <dcterms:modified xsi:type="dcterms:W3CDTF">2026-08-13T12:52:00Z</dcterms:modified>
  <cp:category/>
</cp:coreProperties>
</file>