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</w:pPr>
      <w:r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  <w:t>G</w:t>
      </w:r>
      <w:r w:rsidRPr="00A07A20"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  <w:t xml:space="preserve">uest services </w: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1. Guidance Value (Market Value Guidelines) Lookup &amp; Explainer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Look up the published guideline/market value for a property (by location) and a plain-language explanation of what “guidance value” means.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Citizens and buyers know the department’s published value before negotiation or drafting; reduces surprise at undervaluation scrutiny and helps estimate stamp duty early.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Prevention of Undervaluation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forms/rules — true CVC constitution procedure text is missing from the pack.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2. Stamp Duty &amp; Registration Fee Estimator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Indicative calculator of stamp duty plus registration for a chosen instrument.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 Transparent cost planning before </w:t>
      </w:r>
      <w:proofErr w:type="gramStart"/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visit ;</w:t>
      </w:r>
      <w:proofErr w:type="gramEnd"/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 fewer under/over-stamping errors; builds trust through published rates.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3. Consideration / Duty Base Calculator (Lease, Licence, JDA)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Helps compute the dutiable base for:</w:t>
      </w:r>
    </w:p>
    <w:p w:rsidR="00A07A20" w:rsidRPr="00A07A20" w:rsidRDefault="00A07A20" w:rsidP="00A07A20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Lease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— Schedule </w:t>
      </w: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Article 30</w:t>
      </w:r>
    </w:p>
    <w:p w:rsidR="00A07A20" w:rsidRPr="00A07A20" w:rsidRDefault="00A07A20" w:rsidP="00A07A20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Property licence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— Schedule </w:t>
      </w: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Article 32-A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(not Art. 32)</w:t>
      </w:r>
    </w:p>
    <w:p w:rsidR="00A07A20" w:rsidRPr="00A07A20" w:rsidRDefault="00A07A20" w:rsidP="00A07A20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JDA / construction–development agreement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— Schedule </w:t>
      </w: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Article 5(f)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For rent + premium/advance and MV-linked instruments, users see whether duty is on consideration, rent slab, or market value (whichever is higher where the Schedule so requires) — fewer rejected drafts and undervaluation referrals.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4. Court Stay / Restraint on Property (Information Search)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lastRenderedPageBreak/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Search whether a property is flagged for court stay / restraint affecting registration.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Early due diligence for buyers/lenders; avoids wasted appointment and stamp cost where registration cannot proceed.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5. JDA (Joint Development Agreement) Calculator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Focused UX for Art. </w:t>
      </w: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5(f)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— duty on MV of undivided land share or developed share (and consideration/advance), per Schedule.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 Owners and developers estimate duty before signing </w:t>
      </w:r>
      <w:proofErr w:type="spellStart"/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MoUs</w:t>
      </w:r>
      <w:proofErr w:type="spellEnd"/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; reduces disputes at presentation.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6. Property Registration Trends (Area-wise Insights)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Aggregated, anonymised trends (volume/value by area/period) for public awareness.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Market awareness for citizens, researchers, and planners; supports informed deci</w:t>
      </w:r>
      <w:r w:rsidR="00E67377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sions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7. Land Acquisition Filing Search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Search land-acquisition related statements/filings received at registration offices (where published from Book-1 / Rule 17 ingest).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Checks whether acquisition-related filings affect a survey/property before purchase.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8. Find Jurisdiction Office (Property Registration &amp; Marriages)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 Enter property location or marriage residence details → correct SRO / Marriage Officer / Registrar, with address and hours where </w:t>
      </w:r>
      <w:r w:rsidR="00A701F7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registrations can be done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Prevents wrong-office visits; clarifies where to present documents or publish marriage notice.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lastRenderedPageBreak/>
        <w:t>9. Search Registered Firms / Societies (as available)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Public lookup of firm registration particulars</w:t>
      </w:r>
      <w:r w:rsidR="00A701F7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 maintained by the department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Counterparty due diligence for partners, vendors, and citizens dealing with registered entities.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10. Search Registered Marriage Details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Search / obtain extract of registered marriage part</w:t>
      </w:r>
      <w:r w:rsidR="00A701F7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iculars as permitted 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</w:t>
      </w:r>
      <w:r w:rsidR="00A701F7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 spouse verification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11. Search / View Marriage Notice Details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View notices of intended marriage (Special Marriage) published for public inspection and objection window.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Transparency for intended spouses and objectors; digital equivalent of the notice board.</w:t>
      </w:r>
    </w:p>
    <w:p w:rsidR="00A07A20" w:rsidRP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07A20" w:rsidRPr="00A07A20" w:rsidRDefault="00A07A20" w:rsidP="00A07A20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12. Verify Registered Marriage, Document &amp; Firms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What it is: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Authenticity check via registration number / certificate number / QR (marriage certificate, registered document metadata, firm registration where available).</w:t>
      </w:r>
    </w:p>
    <w:p w:rsidR="00A07A20" w:rsidRPr="00A07A20" w:rsidRDefault="00A07A20" w:rsidP="00A07A20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07A20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User benefit:</w:t>
      </w:r>
      <w:r w:rsidRPr="00A07A20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Instant trust check against forged certificates; useful for banks, employers, and counterparties.</w:t>
      </w:r>
    </w:p>
    <w:p w:rsidR="00A07A20" w:rsidRDefault="0033007A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41B92" w:rsidRDefault="00B41B92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1B92" w:rsidRDefault="00B41B92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1B92" w:rsidRDefault="00B41B92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1B92" w:rsidRPr="00A07A20" w:rsidRDefault="00B41B92" w:rsidP="00A07A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E2486" w:rsidRDefault="007E2486" w:rsidP="007E2486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1</w:t>
      </w:r>
      <w:r w:rsidR="00B41B92">
        <w:rPr>
          <w:rFonts w:ascii="Segoe UI" w:hAnsi="Segoe UI" w:cs="Segoe UI"/>
          <w:color w:val="141414"/>
          <w:sz w:val="29"/>
          <w:szCs w:val="29"/>
        </w:rPr>
        <w:t>3</w:t>
      </w:r>
      <w:r>
        <w:rPr>
          <w:rFonts w:ascii="Segoe UI" w:hAnsi="Segoe UI" w:cs="Segoe UI"/>
          <w:color w:val="141414"/>
          <w:sz w:val="29"/>
          <w:szCs w:val="29"/>
        </w:rPr>
        <w:t>. List of Compulsorily Registrable Instruments</w:t>
      </w:r>
    </w:p>
    <w:p w:rsidR="007E2486" w:rsidRDefault="007E2486" w:rsidP="007E2486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lastRenderedPageBreak/>
        <w:t>What it is:</w:t>
      </w:r>
      <w:r>
        <w:rPr>
          <w:rFonts w:ascii="Segoe UI" w:hAnsi="Segoe UI" w:cs="Segoe UI"/>
          <w:color w:val="141414"/>
          <w:sz w:val="27"/>
          <w:szCs w:val="27"/>
        </w:rPr>
        <w:t> Clear, citizen-facing catalogue of documents that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must be registered</w:t>
      </w:r>
      <w:r>
        <w:rPr>
          <w:rFonts w:ascii="Segoe UI" w:hAnsi="Segoe UI" w:cs="Segoe UI"/>
          <w:color w:val="141414"/>
          <w:sz w:val="27"/>
          <w:szCs w:val="27"/>
        </w:rPr>
        <w:t> under law (and useful notes on optionally registrable instruments), with plain-language examples (sale, gift, mortgage, lease beyond prescribed term, etc.).</w:t>
      </w:r>
    </w:p>
    <w:p w:rsidR="007E2486" w:rsidRDefault="007E2486" w:rsidP="007E2486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User benefit:</w:t>
      </w:r>
      <w:r>
        <w:rPr>
          <w:rFonts w:ascii="Segoe UI" w:hAnsi="Segoe UI" w:cs="Segoe UI"/>
          <w:color w:val="141414"/>
          <w:sz w:val="27"/>
          <w:szCs w:val="27"/>
        </w:rPr>
        <w:t> People know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before drafting/paying stamp</w:t>
      </w:r>
      <w:r>
        <w:rPr>
          <w:rFonts w:ascii="Segoe UI" w:hAnsi="Segoe UI" w:cs="Segoe UI"/>
          <w:color w:val="141414"/>
          <w:sz w:val="27"/>
          <w:szCs w:val="27"/>
        </w:rPr>
        <w:t> whether registration is mandatory; avoids unenforceable or defective title and last-minute SRO rejection.</w:t>
      </w:r>
    </w:p>
    <w:p w:rsidR="00AF2203" w:rsidRDefault="00AF2203"/>
    <w:p w:rsidR="0033007A" w:rsidRDefault="0033007A"/>
    <w:p w:rsidR="0033007A" w:rsidRDefault="0033007A"/>
    <w:p w:rsidR="0033007A" w:rsidRDefault="0033007A" w:rsidP="0033007A">
      <w:pPr>
        <w:pStyle w:val="Heading3"/>
        <w:shd w:val="clear" w:color="auto" w:fill="F8F8F8"/>
        <w:spacing w:before="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 xml:space="preserve">15. Learning Hub — </w:t>
      </w:r>
      <w:proofErr w:type="gramStart"/>
      <w:r>
        <w:rPr>
          <w:rFonts w:ascii="Segoe UI" w:hAnsi="Segoe UI" w:cs="Segoe UI"/>
          <w:color w:val="141414"/>
          <w:sz w:val="29"/>
          <w:szCs w:val="29"/>
        </w:rPr>
        <w:t>What</w:t>
      </w:r>
      <w:proofErr w:type="gramEnd"/>
      <w:r>
        <w:rPr>
          <w:rFonts w:ascii="Segoe UI" w:hAnsi="Segoe UI" w:cs="Segoe UI"/>
          <w:color w:val="141414"/>
          <w:sz w:val="29"/>
          <w:szCs w:val="29"/>
        </w:rPr>
        <w:t xml:space="preserve"> the citizen learns (answered)</w:t>
      </w:r>
    </w:p>
    <w:p w:rsidR="0033007A" w:rsidRDefault="0033007A" w:rsidP="0033007A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A. Registration basics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Citizens learn:</w:t>
      </w:r>
    </w:p>
    <w:p w:rsidR="0033007A" w:rsidRDefault="0033007A" w:rsidP="0033007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Registration is the official recording of a document in the Sub-Registrar’s books so it gets legal notice and stronger evidentiary value.</w:t>
      </w:r>
    </w:p>
    <w:p w:rsidR="0033007A" w:rsidRDefault="0033007A" w:rsidP="0033007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Compulsory vs optional:</w:t>
      </w:r>
      <w:r>
        <w:rPr>
          <w:rFonts w:ascii="Segoe UI" w:hAnsi="Segoe UI" w:cs="Segoe UI"/>
          <w:color w:val="141414"/>
          <w:sz w:val="27"/>
          <w:szCs w:val="27"/>
        </w:rPr>
        <w:t> which instruments must be registered (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Registration Act s.17</w:t>
      </w:r>
      <w:r>
        <w:rPr>
          <w:rFonts w:ascii="Segoe UI" w:hAnsi="Segoe UI" w:cs="Segoe UI"/>
          <w:color w:val="141414"/>
          <w:sz w:val="27"/>
          <w:szCs w:val="27"/>
        </w:rPr>
        <w:t>) and which may be registered optionally (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s.18</w:t>
      </w:r>
      <w:r>
        <w:rPr>
          <w:rFonts w:ascii="Segoe UI" w:hAnsi="Segoe UI" w:cs="Segoe UI"/>
          <w:color w:val="141414"/>
          <w:sz w:val="27"/>
          <w:szCs w:val="27"/>
        </w:rPr>
        <w:t>).</w:t>
      </w:r>
    </w:p>
    <w:p w:rsidR="0033007A" w:rsidRDefault="0033007A" w:rsidP="0033007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Where to register immovable-property documents (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s.28</w:t>
      </w:r>
      <w:r>
        <w:rPr>
          <w:rFonts w:ascii="Segoe UI" w:hAnsi="Segoe UI" w:cs="Segoe UI"/>
          <w:color w:val="141414"/>
          <w:sz w:val="27"/>
          <w:szCs w:val="27"/>
        </w:rPr>
        <w:t> — office where the property is situate) and how to find the correct office.</w:t>
      </w:r>
    </w:p>
    <w:p w:rsidR="0033007A" w:rsidRDefault="0033007A" w:rsidP="0033007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Typical flow: prepare deed → pay stamp duty → book appointment → appear with parties/witnesses/ID → presentation → scrutiny → registration → delivery of registered document / endorsement.</w:t>
      </w:r>
    </w:p>
    <w:p w:rsidR="0033007A" w:rsidRDefault="0033007A" w:rsidP="0033007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After registration they can seek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Encumbrance Certificate</w:t>
      </w:r>
      <w:r>
        <w:rPr>
          <w:rFonts w:ascii="Segoe UI" w:hAnsi="Segoe UI" w:cs="Segoe UI"/>
          <w:color w:val="141414"/>
          <w:sz w:val="27"/>
          <w:szCs w:val="27"/>
        </w:rPr>
        <w:t>,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Certified Copy</w:t>
      </w:r>
      <w:r>
        <w:rPr>
          <w:rFonts w:ascii="Segoe UI" w:hAnsi="Segoe UI" w:cs="Segoe UI"/>
          <w:color w:val="141414"/>
          <w:sz w:val="27"/>
          <w:szCs w:val="27"/>
        </w:rPr>
        <w:t>, and search/inspection of relevant books/indexes (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ss.51–57</w:t>
      </w:r>
      <w:r>
        <w:rPr>
          <w:rFonts w:ascii="Segoe UI" w:hAnsi="Segoe UI" w:cs="Segoe UI"/>
          <w:color w:val="141414"/>
          <w:sz w:val="27"/>
          <w:szCs w:val="27"/>
        </w:rPr>
        <w:t>; Rules on search/EC/CC).</w:t>
      </w:r>
    </w:p>
    <w:p w:rsidR="0033007A" w:rsidRDefault="0033007A" w:rsidP="0033007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Registration fee is separate from stamp duty (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ss.78–79</w:t>
      </w:r>
      <w:r>
        <w:rPr>
          <w:rFonts w:ascii="Segoe UI" w:hAnsi="Segoe UI" w:cs="Segoe UI"/>
          <w:color w:val="141414"/>
          <w:sz w:val="27"/>
          <w:szCs w:val="27"/>
        </w:rPr>
        <w:t>).</w:t>
      </w:r>
    </w:p>
    <w:p w:rsidR="0033007A" w:rsidRDefault="0033007A" w:rsidP="0033007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7" style="width:0;height:1.5pt" o:hralign="center" o:hrstd="t" o:hr="t" fillcolor="#a0a0a0" stroked="f"/>
        </w:pict>
      </w:r>
    </w:p>
    <w:p w:rsidR="0033007A" w:rsidRDefault="0033007A" w:rsidP="0033007A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B. Undervaluation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Citizens learn:</w:t>
      </w:r>
    </w:p>
    <w:p w:rsidR="0033007A" w:rsidRDefault="0033007A" w:rsidP="0033007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Stamp duty is often on the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higher of</w:t>
      </w:r>
      <w:r>
        <w:rPr>
          <w:rFonts w:ascii="Segoe UI" w:hAnsi="Segoe UI" w:cs="Segoe UI"/>
          <w:color w:val="141414"/>
          <w:sz w:val="27"/>
          <w:szCs w:val="27"/>
        </w:rPr>
        <w:t> consideration stated in the deed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or</w:t>
      </w:r>
      <w:r>
        <w:rPr>
          <w:rFonts w:ascii="Segoe UI" w:hAnsi="Segoe UI" w:cs="Segoe UI"/>
          <w:color w:val="141414"/>
          <w:sz w:val="27"/>
          <w:szCs w:val="27"/>
        </w:rPr>
        <w:t> published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market value / guidance value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33007A" w:rsidRDefault="0033007A" w:rsidP="0033007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lastRenderedPageBreak/>
        <w:t>Guidance value is estimated and published by the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Central Valuation Committee</w:t>
      </w:r>
      <w:r>
        <w:rPr>
          <w:rFonts w:ascii="Segoe UI" w:hAnsi="Segoe UI" w:cs="Segoe UI"/>
          <w:color w:val="141414"/>
          <w:sz w:val="27"/>
          <w:szCs w:val="27"/>
        </w:rPr>
        <w:t> mechanism (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Stamp Act ss.45-A / 45-B</w:t>
      </w:r>
      <w:r>
        <w:rPr>
          <w:rFonts w:ascii="Segoe UI" w:hAnsi="Segoe UI" w:cs="Segoe UI"/>
          <w:color w:val="141414"/>
          <w:sz w:val="27"/>
          <w:szCs w:val="27"/>
        </w:rPr>
        <w:t>).</w:t>
      </w:r>
    </w:p>
    <w:p w:rsidR="0033007A" w:rsidRDefault="0033007A" w:rsidP="0033007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If the registering officer finds the instrument undervalued, the case can go for determination of market value and recovery of deficit duty + consequences as per law.</w:t>
      </w:r>
    </w:p>
    <w:p w:rsidR="0033007A" w:rsidRDefault="0033007A" w:rsidP="0033007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Practical tips: check guidance value before drafting; keep sale agreement, receipts, and property details ready; understand that “circle rate / guidance value” is not the same as market negotiation price, but is used for duty.</w:t>
      </w:r>
    </w:p>
    <w:p w:rsidR="0033007A" w:rsidRDefault="0033007A" w:rsidP="0033007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What happens next if referred: notice, opportunity to be heard, order for deficit duty, and options after the order (pay / contest via appeal where available).</w:t>
      </w:r>
    </w:p>
    <w:p w:rsidR="0033007A" w:rsidRDefault="0033007A" w:rsidP="0033007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8" style="width:0;height:1.5pt" o:hralign="center" o:hrstd="t" o:hr="t" fillcolor="#a0a0a0" stroked="f"/>
        </w:pict>
      </w:r>
    </w:p>
    <w:p w:rsidR="0033007A" w:rsidRDefault="0033007A" w:rsidP="0033007A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C. Impounding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Citizens learn:</w:t>
      </w:r>
    </w:p>
    <w:p w:rsidR="0033007A" w:rsidRDefault="0033007A" w:rsidP="0033007A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Impounding</w:t>
      </w:r>
      <w:r>
        <w:rPr>
          <w:rFonts w:ascii="Segoe UI" w:hAnsi="Segoe UI" w:cs="Segoe UI"/>
          <w:color w:val="141414"/>
          <w:sz w:val="27"/>
          <w:szCs w:val="27"/>
        </w:rPr>
        <w:t> means the officer takes custody of an instrument that appears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not duly stamped</w:t>
      </w:r>
      <w:r>
        <w:rPr>
          <w:rFonts w:ascii="Segoe UI" w:hAnsi="Segoe UI" w:cs="Segoe UI"/>
          <w:color w:val="141414"/>
          <w:sz w:val="27"/>
          <w:szCs w:val="27"/>
        </w:rPr>
        <w:t> (or otherwise liable to be impounded under the Stamp Act) instead of returning it freely for use.</w:t>
      </w:r>
    </w:p>
    <w:p w:rsidR="0033007A" w:rsidRDefault="0033007A" w:rsidP="0033007A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Why it happens: missing stamp, insufficient stamp, wrong article, or stamp not paid in an accepted mode.</w:t>
      </w:r>
    </w:p>
    <w:p w:rsidR="0033007A" w:rsidRDefault="0033007A" w:rsidP="0033007A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Immediate effect: the document may not be acted upon / registered until deficit duty and any penalty/procedure under the Act are completed.</w:t>
      </w:r>
    </w:p>
    <w:p w:rsidR="0033007A" w:rsidRDefault="0033007A" w:rsidP="0033007A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What the citizen must do: ascertain deficit, pay as directed, obtain release/endorsement, keep receipts; do not try to “replace” the deed casually without advice.</w:t>
      </w:r>
    </w:p>
    <w:p w:rsidR="0033007A" w:rsidRDefault="0033007A" w:rsidP="0033007A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Difference between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impounding</w:t>
      </w:r>
      <w:r>
        <w:rPr>
          <w:rFonts w:ascii="Segoe UI" w:hAnsi="Segoe UI" w:cs="Segoe UI"/>
          <w:color w:val="141414"/>
          <w:sz w:val="27"/>
          <w:szCs w:val="27"/>
        </w:rPr>
        <w:t> (stamp insufficiency process) and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refusal of registration</w:t>
      </w:r>
      <w:r>
        <w:rPr>
          <w:rFonts w:ascii="Segoe UI" w:hAnsi="Segoe UI" w:cs="Segoe UI"/>
          <w:color w:val="141414"/>
          <w:sz w:val="27"/>
          <w:szCs w:val="27"/>
        </w:rPr>
        <w:t> (Registration Act scrutiny issues).</w:t>
      </w:r>
    </w:p>
    <w:p w:rsidR="0033007A" w:rsidRDefault="0033007A" w:rsidP="0033007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9" style="width:0;height:1.5pt" o:hralign="center" o:hrstd="t" o:hr="t" fillcolor="#a0a0a0" stroked="f"/>
        </w:pict>
      </w:r>
    </w:p>
    <w:p w:rsidR="0033007A" w:rsidRDefault="0033007A" w:rsidP="0033007A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D. Denoting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Citizens learn:</w:t>
      </w:r>
    </w:p>
    <w:p w:rsidR="0033007A" w:rsidRDefault="0033007A" w:rsidP="0033007A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Denoting</w:t>
      </w:r>
      <w:r>
        <w:rPr>
          <w:rFonts w:ascii="Segoe UI" w:hAnsi="Segoe UI" w:cs="Segoe UI"/>
          <w:color w:val="141414"/>
          <w:sz w:val="27"/>
          <w:szCs w:val="27"/>
        </w:rPr>
        <w:t> is the practice of marking/endorsing that stamp duty has already been paid on a related instrument, so double payment is avoided where the Act allows.</w:t>
      </w:r>
    </w:p>
    <w:p w:rsidR="0033007A" w:rsidRDefault="0033007A" w:rsidP="0033007A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lastRenderedPageBreak/>
        <w:t>Typical situations: duty paid on an agreement / earlier instrument that is connected to a later conveyance or related document, subject to Stamp Act conditions.</w:t>
      </w:r>
    </w:p>
    <w:p w:rsidR="0033007A" w:rsidRDefault="0033007A" w:rsidP="0033007A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Citizen takeaway: keep the earlier stamped instrument and endorsements; ask whether duty on the second instrument is fully payable, partly payable, or denoted.</w:t>
      </w:r>
    </w:p>
    <w:p w:rsidR="0033007A" w:rsidRDefault="0033007A" w:rsidP="0033007A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Denoting is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not</w:t>
      </w:r>
      <w:r>
        <w:rPr>
          <w:rFonts w:ascii="Segoe UI" w:hAnsi="Segoe UI" w:cs="Segoe UI"/>
          <w:color w:val="141414"/>
          <w:sz w:val="27"/>
          <w:szCs w:val="27"/>
        </w:rPr>
        <w:t> a general exemption — it applies only in cases recognised by the Stamp Act/rules.</w:t>
      </w:r>
    </w:p>
    <w:p w:rsidR="0033007A" w:rsidRDefault="0033007A" w:rsidP="0033007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40" style="width:0;height:1.5pt" o:hralign="center" o:hrstd="t" o:hr="t" fillcolor="#a0a0a0" stroked="f"/>
        </w:pict>
      </w:r>
    </w:p>
    <w:p w:rsidR="0033007A" w:rsidRDefault="0033007A" w:rsidP="0033007A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E. Exemptions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Citizens learn:</w:t>
      </w:r>
    </w:p>
    <w:p w:rsidR="0033007A" w:rsidRDefault="0033007A" w:rsidP="0033007A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Some instruments or parties get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full or partial stamp exemption</w:t>
      </w:r>
      <w:r>
        <w:rPr>
          <w:rFonts w:ascii="Segoe UI" w:hAnsi="Segoe UI" w:cs="Segoe UI"/>
          <w:color w:val="141414"/>
          <w:sz w:val="27"/>
          <w:szCs w:val="27"/>
        </w:rPr>
        <w:t> under the Schedule or government notifications (e.g. certain government instruments, specified welfare/housing categories, or notified cases — exact list as per current GOs).</w:t>
      </w:r>
    </w:p>
    <w:p w:rsidR="0033007A" w:rsidRDefault="0033007A" w:rsidP="0033007A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Exemption is not automatic in every “government-related” or “loan” story — the instrument must fit the exemption wording.</w:t>
      </w:r>
    </w:p>
    <w:p w:rsidR="0033007A" w:rsidRDefault="0033007A" w:rsidP="0033007A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How to claim: cite the correct exemption entry/notification, attach supporting proof, and ensure the deed recitals match.</w:t>
      </w:r>
    </w:p>
    <w:p w:rsidR="0033007A" w:rsidRDefault="0033007A" w:rsidP="0033007A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Even if stamp is exempt/reduced,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registration fee</w:t>
      </w:r>
      <w:r>
        <w:rPr>
          <w:rFonts w:ascii="Segoe UI" w:hAnsi="Segoe UI" w:cs="Segoe UI"/>
          <w:color w:val="141414"/>
          <w:sz w:val="27"/>
          <w:szCs w:val="27"/>
        </w:rPr>
        <w:t> may still be payable unless separately exempted.</w:t>
      </w:r>
    </w:p>
    <w:p w:rsidR="0033007A" w:rsidRDefault="0033007A" w:rsidP="0033007A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False claim of exemption can lead to deficit duty, penalty, and legal trouble.</w:t>
      </w:r>
    </w:p>
    <w:p w:rsidR="0033007A" w:rsidRDefault="0033007A" w:rsidP="0033007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41" style="width:0;height:1.5pt" o:hralign="center" o:hrstd="t" o:hr="t" fillcolor="#a0a0a0" stroked="f"/>
        </w:pict>
      </w:r>
    </w:p>
    <w:p w:rsidR="0033007A" w:rsidRDefault="0033007A" w:rsidP="0033007A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F. Modes of payment of stamp duty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Citizens learn:</w:t>
      </w:r>
    </w:p>
    <w:p w:rsidR="0033007A" w:rsidRDefault="0033007A" w:rsidP="0033007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Accepted modes under Karnataka practice/law: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e-Stamp</w:t>
      </w:r>
      <w:r>
        <w:rPr>
          <w:rFonts w:ascii="Segoe UI" w:hAnsi="Segoe UI" w:cs="Segoe UI"/>
          <w:color w:val="141414"/>
          <w:sz w:val="27"/>
          <w:szCs w:val="27"/>
        </w:rPr>
        <w:t>,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Digital-e-Stamp</w:t>
      </w:r>
      <w:proofErr w:type="gramStart"/>
      <w:r>
        <w:rPr>
          <w:rFonts w:ascii="Segoe UI" w:hAnsi="Segoe UI" w:cs="Segoe UI"/>
          <w:color w:val="141414"/>
          <w:sz w:val="27"/>
          <w:szCs w:val="27"/>
        </w:rPr>
        <w:t>,.</w:t>
      </w:r>
      <w:proofErr w:type="gramEnd"/>
    </w:p>
    <w:p w:rsidR="0033007A" w:rsidRDefault="0033007A" w:rsidP="0033007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How e-Stamp works: obtain certificate through authorised collection centre / CRA flow; certificate has unique ID; verify before use; do not reuse cancelled/locked certificates.</w:t>
      </w:r>
    </w:p>
    <w:p w:rsidR="0033007A" w:rsidRDefault="0033007A" w:rsidP="0033007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 xml:space="preserve">How </w:t>
      </w:r>
      <w:r>
        <w:rPr>
          <w:rFonts w:ascii="Segoe UI" w:hAnsi="Segoe UI" w:cs="Segoe UI"/>
          <w:color w:val="141414"/>
          <w:sz w:val="27"/>
          <w:szCs w:val="27"/>
        </w:rPr>
        <w:t xml:space="preserve">Digital </w:t>
      </w:r>
      <w:r>
        <w:rPr>
          <w:rFonts w:ascii="Segoe UI" w:hAnsi="Segoe UI" w:cs="Segoe UI"/>
          <w:color w:val="141414"/>
          <w:sz w:val="27"/>
          <w:szCs w:val="27"/>
        </w:rPr>
        <w:t>e-Stamp works: obtain certificate through authorised collection centre / CRA flow; certificate has unique ID; verify before use; do not reuse cancelled/locked certificates.</w:t>
      </w:r>
    </w:p>
    <w:p w:rsidR="0033007A" w:rsidRDefault="0033007A" w:rsidP="0033007A">
      <w:pPr>
        <w:shd w:val="clear" w:color="auto" w:fill="F8F8F8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141414"/>
          <w:sz w:val="27"/>
          <w:szCs w:val="27"/>
        </w:rPr>
      </w:pPr>
    </w:p>
    <w:p w:rsidR="0033007A" w:rsidRDefault="0033007A" w:rsidP="0033007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Practical rules: pay before or as required for execution/presentation; amount must match the correct Schedule article; keep original proof with the document.</w:t>
      </w:r>
    </w:p>
    <w:p w:rsidR="0033007A" w:rsidRDefault="0033007A" w:rsidP="0033007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Portal help: verify e-Stamp</w:t>
      </w:r>
      <w:r>
        <w:rPr>
          <w:rFonts w:ascii="Segoe UI" w:hAnsi="Segoe UI" w:cs="Segoe UI"/>
          <w:color w:val="141414"/>
          <w:sz w:val="27"/>
          <w:szCs w:val="27"/>
        </w:rPr>
        <w:t>/Digital e-Stamp</w:t>
      </w:r>
      <w:bookmarkStart w:id="0" w:name="_GoBack"/>
      <w:bookmarkEnd w:id="0"/>
      <w:r>
        <w:rPr>
          <w:rFonts w:ascii="Segoe UI" w:hAnsi="Segoe UI" w:cs="Segoe UI"/>
          <w:color w:val="141414"/>
          <w:sz w:val="27"/>
          <w:szCs w:val="27"/>
        </w:rPr>
        <w:t>, use duty calculator as an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estimate only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33007A" w:rsidRDefault="0033007A" w:rsidP="0033007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42" style="width:0;height:1.5pt" o:hralign="center" o:hrstd="t" o:hr="t" fillcolor="#a0a0a0" stroked="f"/>
        </w:pict>
      </w:r>
    </w:p>
    <w:p w:rsidR="0033007A" w:rsidRDefault="0033007A" w:rsidP="0033007A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G. Appeal — for what and when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Citizens learn:</w:t>
      </w:r>
    </w:p>
    <w:p w:rsidR="0033007A" w:rsidRDefault="0033007A" w:rsidP="0033007A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For what (typical):</w:t>
      </w:r>
      <w:r>
        <w:rPr>
          <w:rFonts w:ascii="Segoe UI" w:hAnsi="Segoe UI" w:cs="Segoe UI"/>
          <w:color w:val="141414"/>
          <w:sz w:val="27"/>
          <w:szCs w:val="27"/>
        </w:rPr>
        <w:t> orders on market-value determination / deficit stamp duty under the undervaluation process; certain stamp-duty related demands/orders; and, separately, remedies where registration is refused or fee disputes arise under registration law/procedure (explain as distinct tracks).</w:t>
      </w:r>
    </w:p>
    <w:p w:rsidR="0033007A" w:rsidRDefault="0033007A" w:rsidP="0033007A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When:</w:t>
      </w:r>
      <w:r>
        <w:rPr>
          <w:rFonts w:ascii="Segoe UI" w:hAnsi="Segoe UI" w:cs="Segoe UI"/>
          <w:color w:val="141414"/>
          <w:sz w:val="27"/>
          <w:szCs w:val="27"/>
        </w:rPr>
        <w:t> within the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limitation period</w:t>
      </w:r>
      <w:r>
        <w:rPr>
          <w:rFonts w:ascii="Segoe UI" w:hAnsi="Segoe UI" w:cs="Segoe UI"/>
          <w:color w:val="141414"/>
          <w:sz w:val="27"/>
          <w:szCs w:val="27"/>
        </w:rPr>
        <w:t> stated in the Act/rules/notification from the date of the order/communication (exact days to be printed from current Karnataka Stamp Act/rules text used by IGR).</w:t>
      </w:r>
    </w:p>
    <w:p w:rsidR="0033007A" w:rsidRDefault="0033007A" w:rsidP="0033007A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To whom:</w:t>
      </w:r>
      <w:r>
        <w:rPr>
          <w:rFonts w:ascii="Segoe UI" w:hAnsi="Segoe UI" w:cs="Segoe UI"/>
          <w:color w:val="141414"/>
          <w:sz w:val="27"/>
          <w:szCs w:val="27"/>
        </w:rPr>
        <w:t> the appellate authority prescribed (e.g. designated appellate authority for stamp/undervaluation orders — name the office as per current notification).</w:t>
      </w:r>
    </w:p>
    <w:p w:rsidR="0033007A" w:rsidRDefault="0033007A" w:rsidP="0033007A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What to file:</w:t>
      </w:r>
      <w:r>
        <w:rPr>
          <w:rFonts w:ascii="Segoe UI" w:hAnsi="Segoe UI" w:cs="Segoe UI"/>
          <w:color w:val="141414"/>
          <w:sz w:val="27"/>
          <w:szCs w:val="27"/>
        </w:rPr>
        <w:t> appeal memo, copy of order, proof of duty paid if required for admission, ID/property/document references.</w:t>
      </w:r>
    </w:p>
    <w:p w:rsidR="0033007A" w:rsidRDefault="0033007A" w:rsidP="0033007A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Effect of appeal:</w:t>
      </w:r>
      <w:r>
        <w:rPr>
          <w:rFonts w:ascii="Segoe UI" w:hAnsi="Segoe UI" w:cs="Segoe UI"/>
          <w:color w:val="141414"/>
          <w:sz w:val="27"/>
          <w:szCs w:val="27"/>
        </w:rPr>
        <w:t> whether recovery is stayed only on order/conditions; paying under protest vs waiting — explain cautiously as per rules.</w:t>
      </w:r>
    </w:p>
    <w:p w:rsidR="0033007A" w:rsidRDefault="0033007A" w:rsidP="0033007A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Clear message: appeal is against a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speaking order</w:t>
      </w:r>
      <w:r>
        <w:rPr>
          <w:rFonts w:ascii="Segoe UI" w:hAnsi="Segoe UI" w:cs="Segoe UI"/>
          <w:color w:val="141414"/>
          <w:sz w:val="27"/>
          <w:szCs w:val="27"/>
        </w:rPr>
        <w:t>, not against a mere calculator estimate or verbal advice.</w:t>
      </w:r>
    </w:p>
    <w:p w:rsidR="0033007A" w:rsidRDefault="0033007A" w:rsidP="0033007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43" style="width:0;height:1.5pt" o:hralign="center" o:hrstd="t" o:hr="t" fillcolor="#a0a0a0" stroked="f"/>
        </w:pict>
      </w:r>
    </w:p>
    <w:p w:rsidR="0033007A" w:rsidRDefault="0033007A" w:rsidP="0033007A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H. Refund of stamp duty and registration fees — when and how much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Citizens learn: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Stamp duty refund — when (illustrative categories to confirm against current Act/rules/notifications):</w:t>
      </w:r>
    </w:p>
    <w:p w:rsidR="0033007A" w:rsidRDefault="0033007A" w:rsidP="0033007A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lastRenderedPageBreak/>
        <w:t>Stamp paid but instrument not used / spoiled / cancelled under allowable conditions.</w:t>
      </w:r>
    </w:p>
    <w:p w:rsidR="0033007A" w:rsidRDefault="0033007A" w:rsidP="0033007A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Excess stamp paid by mistake (wrong calculation/article) where refund is permitted.</w:t>
      </w:r>
    </w:p>
    <w:p w:rsidR="0033007A" w:rsidRDefault="0033007A" w:rsidP="0033007A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Duty paid for a transaction that could not be completed for reasons recognised in refund rules (e.g. refusal/cancellation under specified grounds).</w:t>
      </w:r>
    </w:p>
    <w:p w:rsidR="0033007A" w:rsidRDefault="0033007A" w:rsidP="0033007A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Time limit from purchase/payment/execution event — must apply within the prescribed period.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Registration fee refund — when:</w:t>
      </w:r>
    </w:p>
    <w:p w:rsidR="0033007A" w:rsidRDefault="0033007A" w:rsidP="0033007A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Fee paid but registration did not proceed for allowable reasons (e.g. refusal, withdrawal where policy allows, duplicate payment, excess fee).</w:t>
      </w:r>
    </w:p>
    <w:p w:rsidR="0033007A" w:rsidRDefault="0033007A" w:rsidP="0033007A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Subject to departmental fee notification / refund orders under the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s.78</w:t>
      </w:r>
      <w:r>
        <w:rPr>
          <w:rFonts w:ascii="Segoe UI" w:hAnsi="Segoe UI" w:cs="Segoe UI"/>
          <w:color w:val="141414"/>
          <w:sz w:val="27"/>
          <w:szCs w:val="27"/>
        </w:rPr>
        <w:t> fee framework.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How much:</w:t>
      </w:r>
    </w:p>
    <w:p w:rsidR="0033007A" w:rsidRDefault="0033007A" w:rsidP="0033007A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Full refund, partial refund, or refund minus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deduction/percentage</w:t>
      </w:r>
      <w:r>
        <w:rPr>
          <w:rFonts w:ascii="Segoe UI" w:hAnsi="Segoe UI" w:cs="Segoe UI"/>
          <w:color w:val="141414"/>
          <w:sz w:val="27"/>
          <w:szCs w:val="27"/>
        </w:rPr>
        <w:t> as prescribed (many stamp refund regimes allow refund after a small deduction — print the exact current %/fee from IGR notification).</w:t>
      </w:r>
    </w:p>
    <w:p w:rsidR="0033007A" w:rsidRDefault="0033007A" w:rsidP="0033007A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Registration fee refund amount as per fee table/refund order (full/partial).</w:t>
      </w:r>
    </w:p>
    <w:p w:rsidR="0033007A" w:rsidRDefault="0033007A" w:rsidP="0033007A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No refund merely because the party changed their mind after successful registration, unless a specific legal ground exists.</w:t>
      </w:r>
    </w:p>
    <w:p w:rsidR="0033007A" w:rsidRDefault="0033007A" w:rsidP="0033007A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How to apply:</w:t>
      </w:r>
    </w:p>
    <w:p w:rsidR="0033007A" w:rsidRDefault="0033007A" w:rsidP="0033007A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Application to competent authority, original stamp certificate/challan/fee receipt, deed/appointment proof, ID, bank details; track status on portal where enabled.</w:t>
      </w:r>
    </w:p>
    <w:p w:rsidR="0033007A" w:rsidRDefault="0033007A" w:rsidP="0033007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44" style="width:0;height:1.5pt" o:hralign="center" o:hrstd="t" o:hr="t" fillcolor="#a0a0a0" stroked="f"/>
        </w:pict>
      </w:r>
    </w:p>
    <w:p w:rsidR="0033007A" w:rsidRDefault="0033007A" w:rsidP="0033007A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Suggested FAQ titles (ready to publish)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Do I must register my sale/gift/lease deed?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What is guidance value and why is my duty higher than agreement value?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lastRenderedPageBreak/>
        <w:t>What is undervaluation and what should I do if my deed is referred?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What is impounding of a document?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What is denoting of stamp duty?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Who gets stamp duty exemption?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How can I pay stamp duty — e-Stamp or franking?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How do I verify my e-Stamp?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When can I appeal a stamp/undervaluation order?</w:t>
      </w:r>
    </w:p>
    <w:p w:rsidR="0033007A" w:rsidRDefault="0033007A" w:rsidP="0033007A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When can I get refund of stamp duty or registration fee, and how much?</w:t>
      </w:r>
    </w:p>
    <w:p w:rsidR="0033007A" w:rsidRDefault="0033007A"/>
    <w:sectPr w:rsidR="00330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72E3C"/>
    <w:multiLevelType w:val="multilevel"/>
    <w:tmpl w:val="F52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36B2"/>
    <w:multiLevelType w:val="multilevel"/>
    <w:tmpl w:val="F4E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3561"/>
    <w:multiLevelType w:val="multilevel"/>
    <w:tmpl w:val="1278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D7A70"/>
    <w:multiLevelType w:val="multilevel"/>
    <w:tmpl w:val="BF9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A446A"/>
    <w:multiLevelType w:val="multilevel"/>
    <w:tmpl w:val="8F60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53732"/>
    <w:multiLevelType w:val="multilevel"/>
    <w:tmpl w:val="4AE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77728"/>
    <w:multiLevelType w:val="multilevel"/>
    <w:tmpl w:val="225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9040E"/>
    <w:multiLevelType w:val="multilevel"/>
    <w:tmpl w:val="60E2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C6049"/>
    <w:multiLevelType w:val="multilevel"/>
    <w:tmpl w:val="17C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B786C"/>
    <w:multiLevelType w:val="multilevel"/>
    <w:tmpl w:val="24EA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F3592"/>
    <w:multiLevelType w:val="multilevel"/>
    <w:tmpl w:val="9C2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E624B"/>
    <w:multiLevelType w:val="multilevel"/>
    <w:tmpl w:val="25C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A671A"/>
    <w:multiLevelType w:val="multilevel"/>
    <w:tmpl w:val="583C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D599D"/>
    <w:multiLevelType w:val="multilevel"/>
    <w:tmpl w:val="5886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10"/>
  </w:num>
  <w:num w:numId="9">
    <w:abstractNumId w:val="2"/>
  </w:num>
  <w:num w:numId="10">
    <w:abstractNumId w:val="9"/>
  </w:num>
  <w:num w:numId="11">
    <w:abstractNumId w:val="5"/>
  </w:num>
  <w:num w:numId="12">
    <w:abstractNumId w:val="12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A20"/>
    <w:rsid w:val="00090A7B"/>
    <w:rsid w:val="002F297E"/>
    <w:rsid w:val="0033007A"/>
    <w:rsid w:val="005816A9"/>
    <w:rsid w:val="007E2486"/>
    <w:rsid w:val="008E7A62"/>
    <w:rsid w:val="009B2770"/>
    <w:rsid w:val="00A07A20"/>
    <w:rsid w:val="00A701F7"/>
    <w:rsid w:val="00AF2203"/>
    <w:rsid w:val="00B41B92"/>
    <w:rsid w:val="00C27C5F"/>
    <w:rsid w:val="00E67377"/>
    <w:rsid w:val="00E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925C"/>
  <w15:chartTrackingRefBased/>
  <w15:docId w15:val="{93E006B2-94BF-4453-932F-B461DCB0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7A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7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7A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7A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paragraph">
    <w:name w:val="ui-markdown__paragraph"/>
    <w:basedOn w:val="Normal"/>
    <w:rsid w:val="00A07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A07A20"/>
  </w:style>
  <w:style w:type="character" w:styleId="Emphasis">
    <w:name w:val="Emphasis"/>
    <w:basedOn w:val="DefaultParagraphFont"/>
    <w:uiPriority w:val="20"/>
    <w:qFormat/>
    <w:rsid w:val="00A07A2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07A2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7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6684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12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36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0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2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62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3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5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99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42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3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30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0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78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84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3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9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74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0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1941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55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77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0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76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6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06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02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7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6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93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0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2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0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73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05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57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3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05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57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5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13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43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31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7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5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65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06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0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0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15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1753</Words>
  <Characters>9995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2026-09-11T09:44:00Z</dcterms:created>
  <dcterms:modified xsi:type="dcterms:W3CDTF">2026-09-11T11:24:00Z</dcterms:modified>
</cp:coreProperties>
</file>