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Segoe UI" w:hAnsi="Segoe UI" w:eastAsia="Segoe UI"/>
          <w:b/>
          <w:sz w:val="24"/>
        </w:rPr>
        <w:t>KAVERI 3.0 — Requirement Discussions</w:t>
      </w:r>
    </w:p>
    <w:p>
      <w:pPr>
        <w:spacing w:after="80" w:before="0"/>
        <w:jc w:val="center"/>
      </w:pPr>
      <w:r>
        <w:rPr>
          <w:rFonts w:ascii="Segoe UI" w:hAnsi="Segoe UI" w:eastAsia="Segoe UI"/>
          <w:b/>
          <w:sz w:val="40"/>
        </w:rPr>
        <w:t>Consolidated Daily Requirement Notes</w:t>
      </w:r>
    </w:p>
    <w:p>
      <w:pPr>
        <w:spacing w:after="240" w:before="0"/>
        <w:jc w:val="center"/>
      </w:pPr>
      <w:r>
        <w:rPr>
          <w:rFonts w:ascii="Segoe UI" w:hAnsi="Segoe UI" w:eastAsia="Segoe UI"/>
          <w:b/>
          <w:sz w:val="28"/>
        </w:rPr>
        <w:t>25-08-2026 to 02-09-2026</w:t>
      </w:r>
    </w:p>
    <w:p>
      <w:pPr>
        <w:spacing w:after="200" w:before="0"/>
        <w:jc w:val="center"/>
      </w:pPr>
      <w:r>
        <w:rPr>
          <w:rFonts w:ascii="Segoe UI" w:hAnsi="Segoe UI" w:eastAsia="Segoe UI"/>
          <w:b w:val="0"/>
          <w:sz w:val="21"/>
        </w:rPr>
        <w:t>Date-wise consolidation of discussion topics, sections, Acts/Rules, notifications, ServiceDesk pain points, and user stories. Business re-engineering content is excluded.</w:t>
      </w:r>
    </w:p>
    <w:p>
      <w:pPr>
        <w:spacing w:after="120" w:before="280"/>
      </w:pPr>
      <w:r>
        <w:rPr>
          <w:rFonts w:ascii="Segoe UI" w:hAnsi="Segoe UI" w:eastAsia="Segoe UI"/>
          <w:b/>
          <w:color w:val="2E75B6"/>
          <w:sz w:val="28"/>
        </w:rPr>
        <w:t>Sources</w:t>
      </w:r>
    </w:p>
    <w:p>
      <w:pPr>
        <w:pStyle w:val="ListBullet"/>
        <w:spacing w:after="60"/>
      </w:pPr>
      <w:r>
        <w:rPr>
          <w:rFonts w:ascii="Segoe UI" w:hAnsi="Segoe UI" w:eastAsia="Segoe UI"/>
          <w:b w:val="0"/>
          <w:sz w:val="21"/>
        </w:rPr>
        <w:t>Requirement Discussions/Daily Reports/user_management_requirement_25082026.docx</w:t>
      </w:r>
    </w:p>
    <w:p>
      <w:pPr>
        <w:pStyle w:val="ListBullet"/>
        <w:spacing w:after="60"/>
      </w:pPr>
      <w:r>
        <w:rPr>
          <w:rFonts w:ascii="Segoe UI" w:hAnsi="Segoe UI" w:eastAsia="Segoe UI"/>
          <w:b w:val="0"/>
          <w:sz w:val="21"/>
        </w:rPr>
        <w:t>Requirement Discussions/Daily Reports/Document_Registration_requirement_27082026_v1.1.docx</w:t>
      </w:r>
    </w:p>
    <w:p>
      <w:pPr>
        <w:pStyle w:val="ListBullet"/>
        <w:spacing w:after="60"/>
      </w:pPr>
      <w:r>
        <w:rPr>
          <w:rFonts w:ascii="Segoe UI" w:hAnsi="Segoe UI" w:eastAsia="Segoe UI"/>
          <w:b w:val="0"/>
          <w:sz w:val="21"/>
        </w:rPr>
        <w:t>Requirement Discussions/Daily Reports/Document_Registration_requirement_28082026_v1.1.docx</w:t>
      </w:r>
    </w:p>
    <w:p>
      <w:pPr>
        <w:pStyle w:val="ListBullet"/>
        <w:spacing w:after="60"/>
      </w:pPr>
      <w:r>
        <w:rPr>
          <w:rFonts w:ascii="Segoe UI" w:hAnsi="Segoe UI" w:eastAsia="Segoe UI"/>
          <w:b w:val="0"/>
          <w:sz w:val="21"/>
        </w:rPr>
        <w:t>Requirement Discussions/Daily Reports/Document_Registration_requirement_01092026_v2.docx</w:t>
      </w:r>
    </w:p>
    <w:p>
      <w:pPr>
        <w:pStyle w:val="ListBullet"/>
        <w:spacing w:after="60"/>
      </w:pPr>
      <w:r>
        <w:rPr>
          <w:rFonts w:ascii="Segoe UI" w:hAnsi="Segoe UI" w:eastAsia="Segoe UI"/>
          <w:b w:val="0"/>
          <w:sz w:val="21"/>
        </w:rPr>
        <w:t>Requirement Discussions/Daily Reports/Document_Registration_requirement_02092026_v1.1.docx</w:t>
      </w:r>
    </w:p>
    <w:p>
      <w:pPr>
        <w:spacing w:after="120" w:before="280"/>
      </w:pPr>
      <w:r>
        <w:rPr>
          <w:rFonts w:ascii="Segoe UI" w:hAnsi="Segoe UI" w:eastAsia="Segoe UI"/>
          <w:b/>
          <w:color w:val="2E75B6"/>
          <w:sz w:val="28"/>
        </w:rPr>
        <w:t>Document contents by date</w:t>
      </w:r>
    </w:p>
    <w:tbl>
      <w:tblPr>
        <w:tblStyle w:val="TableGrid"/>
        <w:tblW w:type="auto" w:w="0"/>
        <w:tblLook w:firstColumn="1" w:firstRow="1" w:lastColumn="0" w:lastRow="0" w:noHBand="0" w:noVBand="1" w:val="04A0"/>
      </w:tblPr>
      <w:tblGrid>
        <w:gridCol w:w="5040"/>
        <w:gridCol w:w="5040"/>
      </w:tblGrid>
      <w:tr>
        <w:tc>
          <w:tcPr>
            <w:tcW w:type="dxa" w:w="1872"/>
            <w:shd w:val="clear" w:color="auto" w:fill="1F4E79"/>
          </w:tcPr>
          <w:p>
            <w:r>
              <w:rPr>
                <w:b/>
                <w:color w:val="FFFFFF"/>
              </w:rPr>
            </w:r>
            <w:r>
              <w:rPr>
                <w:rFonts w:ascii="Times New Roman" w:hAnsi="Times New Roman" w:eastAsia="Times New Roman"/>
                <w:b/>
                <w:color w:val="FFFFFF"/>
                <w:sz w:val="20"/>
              </w:rPr>
              <w:t>Date</w:t>
            </w:r>
          </w:p>
        </w:tc>
        <w:tc>
          <w:tcPr>
            <w:tcW w:type="dxa" w:w="7920"/>
            <w:shd w:val="clear" w:color="auto" w:fill="1F4E79"/>
          </w:tcPr>
          <w:p>
            <w:r>
              <w:rPr>
                <w:b/>
                <w:color w:val="FFFFFF"/>
              </w:rPr>
            </w:r>
            <w:r>
              <w:rPr>
                <w:rFonts w:ascii="Times New Roman" w:hAnsi="Times New Roman" w:eastAsia="Times New Roman"/>
                <w:b/>
                <w:color w:val="FFFFFF"/>
                <w:sz w:val="20"/>
              </w:rPr>
              <w:t>Module / Topics</w:t>
            </w:r>
          </w:p>
        </w:tc>
      </w:tr>
      <w:tr>
        <w:tc>
          <w:tcPr>
            <w:tcW w:type="dxa" w:w="1872"/>
          </w:tcPr>
          <w:p>
            <w:r/>
            <w:r>
              <w:rPr>
                <w:rFonts w:ascii="Times New Roman" w:hAnsi="Times New Roman" w:eastAsia="Times New Roman"/>
                <w:b w:val="0"/>
                <w:sz w:val="19"/>
              </w:rPr>
              <w:t>25-08-2026</w:t>
            </w:r>
          </w:p>
        </w:tc>
        <w:tc>
          <w:tcPr>
            <w:tcW w:type="dxa" w:w="7920"/>
          </w:tcPr>
          <w:p>
            <w:r/>
            <w:r>
              <w:rPr>
                <w:rFonts w:ascii="Times New Roman" w:hAnsi="Times New Roman" w:eastAsia="Times New Roman"/>
                <w:b w:val="0"/>
                <w:sz w:val="19"/>
              </w:rPr>
              <w:t>User Login, Role Management &amp; Access Control (KT session)</w:t>
            </w:r>
          </w:p>
        </w:tc>
      </w:tr>
      <w:tr>
        <w:tc>
          <w:tcPr>
            <w:tcW w:type="dxa" w:w="1872"/>
          </w:tcPr>
          <w:p>
            <w:r/>
            <w:r>
              <w:rPr>
                <w:rFonts w:ascii="Times New Roman" w:hAnsi="Times New Roman" w:eastAsia="Times New Roman"/>
                <w:b w:val="0"/>
                <w:sz w:val="19"/>
              </w:rPr>
              <w:t>27-08-2026</w:t>
            </w:r>
          </w:p>
        </w:tc>
        <w:tc>
          <w:tcPr>
            <w:tcW w:type="dxa" w:w="7920"/>
          </w:tcPr>
          <w:p>
            <w:r/>
            <w:r>
              <w:rPr>
                <w:rFonts w:ascii="Times New Roman" w:hAnsi="Times New Roman" w:eastAsia="Times New Roman"/>
                <w:b w:val="0"/>
                <w:sz w:val="19"/>
              </w:rPr>
              <w:t>Registration core: Registration, Appointment, Status tracking</w:t>
            </w:r>
          </w:p>
        </w:tc>
      </w:tr>
      <w:tr>
        <w:tc>
          <w:tcPr>
            <w:tcW w:type="dxa" w:w="1872"/>
          </w:tcPr>
          <w:p>
            <w:r/>
            <w:r>
              <w:rPr>
                <w:rFonts w:ascii="Times New Roman" w:hAnsi="Times New Roman" w:eastAsia="Times New Roman"/>
                <w:b w:val="0"/>
                <w:sz w:val="19"/>
              </w:rPr>
              <w:t>28-08-2026</w:t>
            </w:r>
          </w:p>
        </w:tc>
        <w:tc>
          <w:tcPr>
            <w:tcW w:type="dxa" w:w="7920"/>
          </w:tcPr>
          <w:p>
            <w:r/>
            <w:r>
              <w:rPr>
                <w:rFonts w:ascii="Times New Roman" w:hAnsi="Times New Roman" w:eastAsia="Times New Roman"/>
                <w:b w:val="0"/>
                <w:sz w:val="19"/>
              </w:rPr>
              <w:t>Registration core (continued): SR workflow, slot, payment, stamp / guidance value, impound</w:t>
            </w:r>
          </w:p>
        </w:tc>
      </w:tr>
      <w:tr>
        <w:tc>
          <w:tcPr>
            <w:tcW w:type="dxa" w:w="1872"/>
          </w:tcPr>
          <w:p>
            <w:r/>
            <w:r>
              <w:rPr>
                <w:rFonts w:ascii="Times New Roman" w:hAnsi="Times New Roman" w:eastAsia="Times New Roman"/>
                <w:b w:val="0"/>
                <w:sz w:val="19"/>
              </w:rPr>
              <w:t>01-09-2026</w:t>
            </w:r>
          </w:p>
        </w:tc>
        <w:tc>
          <w:tcPr>
            <w:tcW w:type="dxa" w:w="7920"/>
          </w:tcPr>
          <w:p>
            <w:r/>
            <w:r>
              <w:rPr>
                <w:rFonts w:ascii="Times New Roman" w:hAnsi="Times New Roman" w:eastAsia="Times New Roman"/>
                <w:b w:val="0"/>
                <w:sz w:val="19"/>
              </w:rPr>
              <w:t>Guideline value calculation, Valuation Module (CVC) and GIS valuation</w:t>
            </w:r>
          </w:p>
        </w:tc>
      </w:tr>
      <w:tr>
        <w:tc>
          <w:tcPr>
            <w:tcW w:type="dxa" w:w="1872"/>
          </w:tcPr>
          <w:p>
            <w:r/>
            <w:r>
              <w:rPr>
                <w:rFonts w:ascii="Times New Roman" w:hAnsi="Times New Roman" w:eastAsia="Times New Roman"/>
                <w:b w:val="0"/>
                <w:sz w:val="19"/>
              </w:rPr>
              <w:t>02-09-2026</w:t>
            </w:r>
          </w:p>
        </w:tc>
        <w:tc>
          <w:tcPr>
            <w:tcW w:type="dxa" w:w="7920"/>
          </w:tcPr>
          <w:p>
            <w:r/>
            <w:r>
              <w:rPr>
                <w:rFonts w:ascii="Times New Roman" w:hAnsi="Times New Roman" w:eastAsia="Times New Roman"/>
                <w:b w:val="0"/>
                <w:sz w:val="19"/>
              </w:rPr>
              <w:t>Rule 17(1)/(2)/(3) filing, Old pending release, Govt/Institutional e-filing</w:t>
            </w:r>
          </w:p>
        </w:tc>
      </w:tr>
    </w:tbl>
    <w:p/>
    <w:p>
      <w:r>
        <w:br w:type="page"/>
      </w:r>
    </w:p>
    <w:p>
      <w:pPr>
        <w:spacing w:after="120" w:before="280"/>
      </w:pPr>
      <w:r>
        <w:rPr>
          <w:rFonts w:ascii="Segoe UI" w:hAnsi="Segoe UI" w:eastAsia="Segoe UI"/>
          <w:b/>
          <w:color w:val="1F4E79"/>
          <w:sz w:val="36"/>
        </w:rPr>
        <w:t>1. 25-08-2026 — User Management</w:t>
      </w:r>
    </w:p>
    <w:tbl>
      <w:tblPr>
        <w:tblStyle w:val="TableGrid"/>
        <w:tblW w:type="auto" w:w="0"/>
        <w:tblLook w:firstColumn="1" w:firstRow="1" w:lastColumn="0" w:lastRow="0" w:noHBand="0" w:noVBand="1" w:val="04A0"/>
      </w:tblPr>
      <w:tblGrid>
        <w:gridCol w:w="5040"/>
        <w:gridCol w:w="5040"/>
      </w:tblGrid>
      <w:tr>
        <w:tc>
          <w:tcPr>
            <w:tcW w:type="dxa" w:w="2304"/>
            <w:shd w:val="clear" w:color="auto" w:fill="1F4E79"/>
          </w:tcPr>
          <w:p>
            <w:r>
              <w:rPr>
                <w:b/>
                <w:color w:val="FFFFFF"/>
              </w:rPr>
            </w:r>
            <w:r>
              <w:rPr>
                <w:rFonts w:ascii="Times New Roman" w:hAnsi="Times New Roman" w:eastAsia="Times New Roman"/>
                <w:b/>
                <w:color w:val="FFFFFF"/>
                <w:sz w:val="20"/>
              </w:rPr>
              <w:t>Field</w:t>
            </w:r>
          </w:p>
        </w:tc>
        <w:tc>
          <w:tcPr>
            <w:tcW w:type="dxa" w:w="7488"/>
            <w:shd w:val="clear" w:color="auto" w:fill="1F4E79"/>
          </w:tcPr>
          <w:p>
            <w:r>
              <w:rPr>
                <w:b/>
                <w:color w:val="FFFFFF"/>
              </w:rPr>
            </w:r>
            <w:r>
              <w:rPr>
                <w:rFonts w:ascii="Times New Roman" w:hAnsi="Times New Roman" w:eastAsia="Times New Roman"/>
                <w:b/>
                <w:color w:val="FFFFFF"/>
                <w:sz w:val="20"/>
              </w:rPr>
              <w:t>Details</w:t>
            </w:r>
          </w:p>
        </w:tc>
      </w:tr>
      <w:tr>
        <w:tc>
          <w:tcPr>
            <w:tcW w:type="dxa" w:w="2304"/>
          </w:tcPr>
          <w:p>
            <w:r/>
            <w:r>
              <w:rPr>
                <w:rFonts w:ascii="Times New Roman" w:hAnsi="Times New Roman" w:eastAsia="Times New Roman"/>
                <w:b w:val="0"/>
                <w:sz w:val="19"/>
              </w:rPr>
              <w:t>Date</w:t>
            </w:r>
          </w:p>
        </w:tc>
        <w:tc>
          <w:tcPr>
            <w:tcW w:type="dxa" w:w="7488"/>
          </w:tcPr>
          <w:p>
            <w:r/>
            <w:r>
              <w:rPr>
                <w:rFonts w:ascii="Times New Roman" w:hAnsi="Times New Roman" w:eastAsia="Times New Roman"/>
                <w:b w:val="0"/>
                <w:sz w:val="19"/>
              </w:rPr>
              <w:t>25-08-2026</w:t>
            </w:r>
          </w:p>
        </w:tc>
      </w:tr>
      <w:tr>
        <w:tc>
          <w:tcPr>
            <w:tcW w:type="dxa" w:w="2304"/>
          </w:tcPr>
          <w:p>
            <w:r/>
            <w:r>
              <w:rPr>
                <w:rFonts w:ascii="Times New Roman" w:hAnsi="Times New Roman" w:eastAsia="Times New Roman"/>
                <w:b w:val="0"/>
                <w:sz w:val="19"/>
              </w:rPr>
              <w:t>Topics</w:t>
            </w:r>
          </w:p>
        </w:tc>
        <w:tc>
          <w:tcPr>
            <w:tcW w:type="dxa" w:w="7488"/>
          </w:tcPr>
          <w:p>
            <w:r/>
            <w:r>
              <w:rPr>
                <w:rFonts w:ascii="Times New Roman" w:hAnsi="Times New Roman" w:eastAsia="Times New Roman"/>
                <w:b w:val="0"/>
                <w:sz w:val="19"/>
              </w:rPr>
              <w:t>User Login, Role Management &amp; Access Control (KT session)</w:t>
            </w:r>
          </w:p>
        </w:tc>
      </w:tr>
      <w:tr>
        <w:tc>
          <w:tcPr>
            <w:tcW w:type="dxa" w:w="2304"/>
          </w:tcPr>
          <w:p>
            <w:r/>
            <w:r>
              <w:rPr>
                <w:rFonts w:ascii="Times New Roman" w:hAnsi="Times New Roman" w:eastAsia="Times New Roman"/>
                <w:b w:val="0"/>
                <w:sz w:val="19"/>
              </w:rPr>
              <w:t>Attendees</w:t>
            </w:r>
          </w:p>
        </w:tc>
        <w:tc>
          <w:tcPr>
            <w:tcW w:type="dxa" w:w="7488"/>
          </w:tcPr>
          <w:p>
            <w:r/>
            <w:r>
              <w:rPr>
                <w:rFonts w:ascii="Times New Roman" w:hAnsi="Times New Roman" w:eastAsia="Times New Roman"/>
                <w:b w:val="0"/>
                <w:sz w:val="19"/>
              </w:rPr>
              <w:t>Kaveri IT Cell, AIGR Comp, Project Manager, Assistant Manager (CMS)</w:t>
            </w:r>
          </w:p>
        </w:tc>
      </w:tr>
      <w:tr>
        <w:tc>
          <w:tcPr>
            <w:tcW w:type="dxa" w:w="2304"/>
          </w:tcPr>
          <w:p>
            <w:r/>
            <w:r>
              <w:rPr>
                <w:rFonts w:ascii="Times New Roman" w:hAnsi="Times New Roman" w:eastAsia="Times New Roman"/>
                <w:b w:val="0"/>
                <w:sz w:val="19"/>
              </w:rPr>
              <w:t>Source</w:t>
            </w:r>
          </w:p>
        </w:tc>
        <w:tc>
          <w:tcPr>
            <w:tcW w:type="dxa" w:w="7488"/>
          </w:tcPr>
          <w:p>
            <w:r/>
            <w:r>
              <w:rPr>
                <w:rFonts w:ascii="Times New Roman" w:hAnsi="Times New Roman" w:eastAsia="Times New Roman"/>
                <w:b w:val="0"/>
                <w:sz w:val="19"/>
              </w:rPr>
              <w:t>user_management_requirement_25082026.docx</w:t>
            </w:r>
          </w:p>
        </w:tc>
      </w:tr>
    </w:tbl>
    <w:p/>
    <w:p>
      <w:pPr>
        <w:spacing w:after="120" w:before="280"/>
      </w:pPr>
      <w:r>
        <w:rPr>
          <w:rFonts w:ascii="Segoe UI" w:hAnsi="Segoe UI" w:eastAsia="Segoe UI"/>
          <w:b/>
          <w:color w:val="2E75B6"/>
          <w:sz w:val="28"/>
        </w:rPr>
        <w:t>1.1 Discussion sections</w:t>
      </w:r>
    </w:p>
    <w:p>
      <w:pPr>
        <w:spacing w:after="120" w:before="160"/>
      </w:pPr>
      <w:r>
        <w:rPr>
          <w:rFonts w:ascii="Segoe UI" w:hAnsi="Segoe UI" w:eastAsia="Segoe UI"/>
          <w:b/>
          <w:color w:val="2F5496"/>
          <w:sz w:val="25"/>
        </w:rPr>
        <w:t>1. Login &amp; Authentication</w:t>
      </w:r>
    </w:p>
    <w:p>
      <w:pPr>
        <w:pStyle w:val="ListBullet"/>
        <w:spacing w:after="60"/>
      </w:pPr>
      <w:r>
        <w:rPr>
          <w:rFonts w:ascii="Segoe UI" w:hAnsi="Segoe UI" w:eastAsia="Segoe UI"/>
          <w:b/>
          <w:sz w:val="21"/>
        </w:rPr>
        <w:t xml:space="preserve">Password Removal: </w:t>
      </w:r>
      <w:r>
        <w:rPr>
          <w:rFonts w:ascii="Segoe UI" w:hAnsi="Segoe UI" w:eastAsia="Segoe UI"/>
          <w:b w:val="0"/>
          <w:sz w:val="21"/>
        </w:rPr>
        <w:t>Password option to be removed. Login will require only user ID, OTP generation, and captcha; user is allowed to log in only when all three match.</w:t>
      </w:r>
    </w:p>
    <w:p>
      <w:pPr>
        <w:pStyle w:val="ListBullet"/>
        <w:spacing w:after="60"/>
      </w:pPr>
      <w:r>
        <w:rPr>
          <w:rFonts w:ascii="Segoe UI" w:hAnsi="Segoe UI" w:eastAsia="Segoe UI"/>
          <w:b/>
          <w:sz w:val="21"/>
        </w:rPr>
        <w:t xml:space="preserve">Biometric Authentication: </w:t>
      </w:r>
      <w:r>
        <w:rPr>
          <w:rFonts w:ascii="Segoe UI" w:hAnsi="Segoe UI" w:eastAsia="Segoe UI"/>
          <w:b w:val="0"/>
          <w:sz w:val="21"/>
        </w:rPr>
        <w:t>Department users will have the option to log in using biometric authentication. Biometric authentication is to be updated every 5 years.</w:t>
      </w:r>
    </w:p>
    <w:p>
      <w:pPr>
        <w:spacing w:after="120" w:before="160"/>
      </w:pPr>
      <w:r>
        <w:rPr>
          <w:rFonts w:ascii="Segoe UI" w:hAnsi="Segoe UI" w:eastAsia="Segoe UI"/>
          <w:b/>
          <w:color w:val="2F5496"/>
          <w:sz w:val="25"/>
        </w:rPr>
        <w:t>2. Role Selection &amp; Switching</w:t>
      </w:r>
    </w:p>
    <w:p>
      <w:pPr>
        <w:pStyle w:val="ListBullet"/>
        <w:spacing w:after="60"/>
      </w:pPr>
      <w:r>
        <w:rPr>
          <w:rFonts w:ascii="Segoe UI" w:hAnsi="Segoe UI" w:eastAsia="Segoe UI"/>
          <w:b/>
          <w:sz w:val="21"/>
        </w:rPr>
        <w:t xml:space="preserve">Role Selection Post-Login: </w:t>
      </w:r>
      <w:r>
        <w:rPr>
          <w:rFonts w:ascii="Segoe UI" w:hAnsi="Segoe UI" w:eastAsia="Segoe UI"/>
          <w:b w:val="0"/>
          <w:sz w:val="21"/>
        </w:rPr>
        <w:t>Once logged in, the user is allowed to select a role from the available list; actions and activities must get updated accordingly.</w:t>
      </w:r>
    </w:p>
    <w:p>
      <w:pPr>
        <w:pStyle w:val="ListBullet"/>
        <w:spacing w:after="60"/>
      </w:pPr>
      <w:r>
        <w:rPr>
          <w:rFonts w:ascii="Segoe UI" w:hAnsi="Segoe UI" w:eastAsia="Segoe UI"/>
          <w:b/>
          <w:sz w:val="21"/>
        </w:rPr>
        <w:t xml:space="preserve">Role Switching: </w:t>
      </w:r>
      <w:r>
        <w:rPr>
          <w:rFonts w:ascii="Segoe UI" w:hAnsi="Segoe UI" w:eastAsia="Segoe UI"/>
          <w:b w:val="0"/>
          <w:sz w:val="21"/>
        </w:rPr>
        <w:t>User can switch to any of the assigned roles whenever needed.</w:t>
      </w:r>
    </w:p>
    <w:p>
      <w:pPr>
        <w:spacing w:after="120" w:before="160"/>
      </w:pPr>
      <w:r>
        <w:rPr>
          <w:rFonts w:ascii="Segoe UI" w:hAnsi="Segoe UI" w:eastAsia="Segoe UI"/>
          <w:b/>
          <w:color w:val="2F5496"/>
          <w:sz w:val="25"/>
        </w:rPr>
        <w:t>3. Primary &amp; Secondary Roles</w:t>
      </w:r>
    </w:p>
    <w:p>
      <w:pPr>
        <w:pStyle w:val="ListBullet"/>
        <w:spacing w:after="60"/>
      </w:pPr>
      <w:r>
        <w:rPr>
          <w:rFonts w:ascii="Segoe UI" w:hAnsi="Segoe UI" w:eastAsia="Segoe UI"/>
          <w:b/>
          <w:sz w:val="21"/>
        </w:rPr>
        <w:t xml:space="preserve">Primary Role: </w:t>
      </w:r>
      <w:r>
        <w:rPr>
          <w:rFonts w:ascii="Segoe UI" w:hAnsi="Segoe UI" w:eastAsia="Segoe UI"/>
          <w:b w:val="0"/>
          <w:sz w:val="21"/>
        </w:rPr>
        <w:t>A primary role must be assigned to the user at the time of account creation. Primary role cannot have an end date.</w:t>
      </w:r>
    </w:p>
    <w:p>
      <w:pPr>
        <w:pStyle w:val="ListBullet"/>
        <w:spacing w:after="60"/>
      </w:pPr>
      <w:r>
        <w:rPr>
          <w:rFonts w:ascii="Segoe UI" w:hAnsi="Segoe UI" w:eastAsia="Segoe UI"/>
          <w:b/>
          <w:sz w:val="21"/>
        </w:rPr>
        <w:t xml:space="preserve">Secondary Roles: </w:t>
      </w:r>
      <w:r>
        <w:rPr>
          <w:rFonts w:ascii="Segoe UI" w:hAnsi="Segoe UI" w:eastAsia="Segoe UI"/>
          <w:b w:val="0"/>
          <w:sz w:val="21"/>
        </w:rPr>
        <w:t>All additional roles will be treated as secondary roles, and all secondary roles must have an end date.</w:t>
      </w:r>
    </w:p>
    <w:p>
      <w:pPr>
        <w:pStyle w:val="ListBullet"/>
        <w:spacing w:after="60"/>
      </w:pPr>
      <w:r>
        <w:rPr>
          <w:rFonts w:ascii="Segoe UI" w:hAnsi="Segoe UI" w:eastAsia="Segoe UI"/>
          <w:b/>
          <w:sz w:val="21"/>
        </w:rPr>
        <w:t xml:space="preserve">Access Removal: </w:t>
      </w:r>
      <w:r>
        <w:rPr>
          <w:rFonts w:ascii="Segoe UI" w:hAnsi="Segoe UI" w:eastAsia="Segoe UI"/>
          <w:b w:val="0"/>
          <w:sz w:val="21"/>
        </w:rPr>
        <w:t>After the end date, the secondary role access must be removed from the user's access.</w:t>
      </w:r>
    </w:p>
    <w:p>
      <w:pPr>
        <w:spacing w:after="120" w:before="160"/>
      </w:pPr>
      <w:r>
        <w:rPr>
          <w:rFonts w:ascii="Segoe UI" w:hAnsi="Segoe UI" w:eastAsia="Segoe UI"/>
          <w:b/>
          <w:color w:val="2F5496"/>
          <w:sz w:val="25"/>
        </w:rPr>
        <w:t>4. Role Change &amp; Approval</w:t>
      </w:r>
    </w:p>
    <w:p>
      <w:pPr>
        <w:pStyle w:val="ListBullet"/>
        <w:spacing w:after="60"/>
      </w:pPr>
      <w:r>
        <w:rPr>
          <w:rFonts w:ascii="Segoe UI" w:hAnsi="Segoe UI" w:eastAsia="Segoe UI"/>
          <w:b/>
          <w:sz w:val="21"/>
        </w:rPr>
        <w:t xml:space="preserve">Additional Role Approval: </w:t>
      </w:r>
      <w:r>
        <w:rPr>
          <w:rFonts w:ascii="Segoe UI" w:hAnsi="Segoe UI" w:eastAsia="Segoe UI"/>
          <w:b w:val="0"/>
          <w:sz w:val="21"/>
        </w:rPr>
        <w:t>For any additional role access, provision is needed to capture the approval letter.</w:t>
      </w:r>
    </w:p>
    <w:p>
      <w:pPr>
        <w:pStyle w:val="ListBullet"/>
        <w:spacing w:after="60"/>
      </w:pPr>
      <w:r>
        <w:rPr>
          <w:rFonts w:ascii="Segoe UI" w:hAnsi="Segoe UI" w:eastAsia="Segoe UI"/>
          <w:b/>
          <w:sz w:val="21"/>
        </w:rPr>
        <w:t xml:space="preserve">Primary Role Change: </w:t>
      </w:r>
      <w:r>
        <w:rPr>
          <w:rFonts w:ascii="Segoe UI" w:hAnsi="Segoe UI" w:eastAsia="Segoe UI"/>
          <w:b w:val="0"/>
          <w:sz w:val="21"/>
        </w:rPr>
        <w:t>Primary role access can be changed at any time in the future, but an approval letter is needed.</w:t>
      </w:r>
    </w:p>
    <w:p>
      <w:pPr>
        <w:pStyle w:val="ListBullet"/>
        <w:spacing w:after="60"/>
      </w:pPr>
      <w:r>
        <w:rPr>
          <w:rFonts w:ascii="Segoe UI" w:hAnsi="Segoe UI" w:eastAsia="Segoe UI"/>
          <w:b/>
          <w:sz w:val="21"/>
        </w:rPr>
        <w:t xml:space="preserve">Reason for Change: </w:t>
      </w:r>
      <w:r>
        <w:rPr>
          <w:rFonts w:ascii="Segoe UI" w:hAnsi="Segoe UI" w:eastAsia="Segoe UI"/>
          <w:b w:val="0"/>
          <w:sz w:val="21"/>
        </w:rPr>
        <w:t>Change of primary role access can be due to promotion, office transfer, or demotion – provision needed to capture the changed role.</w:t>
      </w:r>
    </w:p>
    <w:p>
      <w:pPr>
        <w:pStyle w:val="ListBullet"/>
        <w:spacing w:after="60"/>
      </w:pPr>
      <w:r>
        <w:rPr>
          <w:rFonts w:ascii="Segoe UI" w:hAnsi="Segoe UI" w:eastAsia="Segoe UI"/>
          <w:b/>
          <w:sz w:val="21"/>
        </w:rPr>
        <w:t xml:space="preserve">Future Effective Date: </w:t>
      </w:r>
      <w:r>
        <w:rPr>
          <w:rFonts w:ascii="Segoe UI" w:hAnsi="Segoe UI" w:eastAsia="Segoe UI"/>
          <w:b w:val="0"/>
          <w:sz w:val="21"/>
        </w:rPr>
        <w:t>Provision needed to set the change of role to an effective date in the future as well.</w:t>
      </w:r>
    </w:p>
    <w:p>
      <w:pPr>
        <w:spacing w:after="120" w:before="160"/>
      </w:pPr>
      <w:r>
        <w:rPr>
          <w:rFonts w:ascii="Segoe UI" w:hAnsi="Segoe UI" w:eastAsia="Segoe UI"/>
          <w:b/>
          <w:color w:val="2F5496"/>
          <w:sz w:val="25"/>
        </w:rPr>
        <w:t>5. Role Management (Super Admin)</w:t>
      </w:r>
    </w:p>
    <w:p>
      <w:pPr>
        <w:pStyle w:val="ListBullet"/>
        <w:spacing w:after="60"/>
      </w:pPr>
      <w:r>
        <w:rPr>
          <w:rFonts w:ascii="Segoe UI" w:hAnsi="Segoe UI" w:eastAsia="Segoe UI"/>
          <w:b/>
          <w:sz w:val="21"/>
        </w:rPr>
        <w:t xml:space="preserve">Adding Roles: </w:t>
      </w:r>
      <w:r>
        <w:rPr>
          <w:rFonts w:ascii="Segoe UI" w:hAnsi="Segoe UI" w:eastAsia="Segoe UI"/>
          <w:b w:val="0"/>
          <w:sz w:val="21"/>
        </w:rPr>
        <w:t>Role must be an adding option; super admin can add any number of roles needed.</w:t>
      </w:r>
    </w:p>
    <w:p>
      <w:pPr>
        <w:pStyle w:val="ListBullet"/>
        <w:spacing w:after="60"/>
      </w:pPr>
      <w:r>
        <w:rPr>
          <w:rFonts w:ascii="Segoe UI" w:hAnsi="Segoe UI" w:eastAsia="Segoe UI"/>
          <w:b/>
          <w:sz w:val="21"/>
        </w:rPr>
        <w:t xml:space="preserve">Abbreviation &amp; Acronym: </w:t>
      </w:r>
      <w:r>
        <w:rPr>
          <w:rFonts w:ascii="Segoe UI" w:hAnsi="Segoe UI" w:eastAsia="Segoe UI"/>
          <w:b w:val="0"/>
          <w:sz w:val="21"/>
        </w:rPr>
        <w:t>Role must capture abbreviation and acronym, which can be displayed throughout the application wherever necessary.</w:t>
      </w:r>
    </w:p>
    <w:p>
      <w:pPr>
        <w:pStyle w:val="ListBullet"/>
        <w:spacing w:after="60"/>
      </w:pPr>
      <w:r>
        <w:rPr>
          <w:rFonts w:ascii="Segoe UI" w:hAnsi="Segoe UI" w:eastAsia="Segoe UI"/>
          <w:b/>
          <w:sz w:val="21"/>
        </w:rPr>
        <w:t xml:space="preserve">Peer/Subordinate Role Editing: </w:t>
      </w:r>
      <w:r>
        <w:rPr>
          <w:rFonts w:ascii="Segoe UI" w:hAnsi="Segoe UI" w:eastAsia="Segoe UI"/>
          <w:b w:val="0"/>
          <w:sz w:val="21"/>
        </w:rPr>
        <w:t>A few roles can edit the roles of peers and subordinates; provision needed to enable/disable this permission per role.</w:t>
      </w:r>
    </w:p>
    <w:p>
      <w:pPr>
        <w:pStyle w:val="ListBullet"/>
        <w:spacing w:after="60"/>
      </w:pPr>
      <w:r>
        <w:rPr>
          <w:rFonts w:ascii="Segoe UI" w:hAnsi="Segoe UI" w:eastAsia="Segoe UI"/>
          <w:b/>
          <w:sz w:val="21"/>
        </w:rPr>
        <w:t xml:space="preserve">Hierarchy Level: </w:t>
      </w:r>
      <w:r>
        <w:rPr>
          <w:rFonts w:ascii="Segoe UI" w:hAnsi="Segoe UI" w:eastAsia="Segoe UI"/>
          <w:b w:val="0"/>
          <w:sz w:val="21"/>
        </w:rPr>
        <w:t>Super admin will set the hierarchy level of the roles.</w:t>
      </w:r>
    </w:p>
    <w:p>
      <w:pPr>
        <w:spacing w:after="120" w:before="160"/>
      </w:pPr>
      <w:r>
        <w:rPr>
          <w:rFonts w:ascii="Segoe UI" w:hAnsi="Segoe UI" w:eastAsia="Segoe UI"/>
          <w:b/>
          <w:color w:val="2F5496"/>
          <w:sz w:val="25"/>
        </w:rPr>
        <w:t>6. Letters</w:t>
      </w:r>
    </w:p>
    <w:p>
      <w:pPr>
        <w:pStyle w:val="ListBullet"/>
        <w:spacing w:after="60"/>
      </w:pPr>
      <w:r>
        <w:rPr>
          <w:rFonts w:ascii="Segoe UI" w:hAnsi="Segoe UI" w:eastAsia="Segoe UI"/>
          <w:b/>
          <w:sz w:val="21"/>
        </w:rPr>
        <w:t xml:space="preserve">Relieving &amp; Joining Letters: </w:t>
      </w:r>
      <w:r>
        <w:rPr>
          <w:rFonts w:ascii="Segoe UI" w:hAnsi="Segoe UI" w:eastAsia="Segoe UI"/>
          <w:b w:val="0"/>
          <w:sz w:val="21"/>
        </w:rPr>
        <w:t>Relieving and joining letters for roles can be generated from the application, using a letter format shared by the department – reducing offline activity.</w:t>
      </w:r>
    </w:p>
    <w:p>
      <w:pPr>
        <w:spacing w:after="120" w:before="160"/>
      </w:pPr>
      <w:r>
        <w:rPr>
          <w:rFonts w:ascii="Segoe UI" w:hAnsi="Segoe UI" w:eastAsia="Segoe UI"/>
          <w:b/>
          <w:color w:val="2F5496"/>
          <w:sz w:val="25"/>
        </w:rPr>
        <w:t>7. Account Creation</w:t>
      </w:r>
    </w:p>
    <w:p>
      <w:pPr>
        <w:pStyle w:val="ListBullet"/>
        <w:spacing w:after="60"/>
      </w:pPr>
      <w:r>
        <w:rPr>
          <w:rFonts w:ascii="Segoe UI" w:hAnsi="Segoe UI" w:eastAsia="Segoe UI"/>
          <w:b/>
          <w:sz w:val="21"/>
        </w:rPr>
        <w:t xml:space="preserve">Instant Creation: </w:t>
      </w:r>
      <w:r>
        <w:rPr>
          <w:rFonts w:ascii="Segoe UI" w:hAnsi="Segoe UI" w:eastAsia="Segoe UI"/>
          <w:b w:val="0"/>
          <w:sz w:val="21"/>
        </w:rPr>
        <w:t>User account creation happens instantly; no approval process is necessary.</w:t>
      </w:r>
    </w:p>
    <w:p>
      <w:pPr>
        <w:spacing w:after="120" w:before="160"/>
      </w:pPr>
      <w:r>
        <w:rPr>
          <w:rFonts w:ascii="Segoe UI" w:hAnsi="Segoe UI" w:eastAsia="Segoe UI"/>
          <w:b/>
          <w:color w:val="2F5496"/>
          <w:sz w:val="25"/>
        </w:rPr>
        <w:t>8. Reports</w:t>
      </w:r>
    </w:p>
    <w:p>
      <w:pPr>
        <w:pStyle w:val="ListBullet"/>
        <w:spacing w:after="60"/>
      </w:pPr>
      <w:r>
        <w:rPr>
          <w:rFonts w:ascii="Segoe UI" w:hAnsi="Segoe UI" w:eastAsia="Segoe UI"/>
          <w:b/>
          <w:sz w:val="21"/>
        </w:rPr>
        <w:t xml:space="preserve">Daily Login Report: </w:t>
      </w:r>
      <w:r>
        <w:rPr>
          <w:rFonts w:ascii="Segoe UI" w:hAnsi="Segoe UI" w:eastAsia="Segoe UI"/>
          <w:b w:val="0"/>
          <w:sz w:val="21"/>
        </w:rPr>
        <w:t>Necessary reports are needed showing how many users logged in every day, including the roles of those users.</w:t>
      </w:r>
    </w:p>
    <w:p>
      <w:pPr>
        <w:spacing w:after="120" w:before="280"/>
      </w:pPr>
      <w:r>
        <w:rPr>
          <w:rFonts w:ascii="Segoe UI" w:hAnsi="Segoe UI" w:eastAsia="Segoe UI"/>
          <w:b/>
          <w:color w:val="2E75B6"/>
          <w:sz w:val="28"/>
        </w:rPr>
        <w:t>1.2 Acts / Rules / Notifications</w:t>
      </w:r>
    </w:p>
    <w:p>
      <w:pPr>
        <w:spacing w:after="120" w:before="0"/>
      </w:pPr>
      <w:r>
        <w:rPr>
          <w:rFonts w:ascii="Segoe UI" w:hAnsi="Segoe UI" w:eastAsia="Segoe UI"/>
          <w:b w:val="0"/>
          <w:sz w:val="21"/>
        </w:rPr>
        <w:t>Not captured in the 25-08-2026 source note (KT session focused on login and role-management behaviour).</w:t>
      </w:r>
    </w:p>
    <w:p>
      <w:pPr>
        <w:spacing w:after="120" w:before="280"/>
      </w:pPr>
      <w:r>
        <w:rPr>
          <w:rFonts w:ascii="Segoe UI" w:hAnsi="Segoe UI" w:eastAsia="Segoe UI"/>
          <w:b/>
          <w:color w:val="2E75B6"/>
          <w:sz w:val="28"/>
        </w:rPr>
        <w:t>1.3 Pain points</w:t>
      </w:r>
    </w:p>
    <w:p>
      <w:pPr>
        <w:spacing w:after="120" w:before="0"/>
      </w:pPr>
      <w:r>
        <w:rPr>
          <w:rFonts w:ascii="Segoe UI" w:hAnsi="Segoe UI" w:eastAsia="Segoe UI"/>
          <w:b w:val="0"/>
          <w:sz w:val="21"/>
        </w:rPr>
        <w:t>No ServiceDesk pain-point mapping was attached to the 25-08-2026 user-management note.</w:t>
      </w:r>
    </w:p>
    <w:p>
      <w:pPr>
        <w:spacing w:after="120" w:before="280"/>
      </w:pPr>
      <w:r>
        <w:rPr>
          <w:rFonts w:ascii="Segoe UI" w:hAnsi="Segoe UI" w:eastAsia="Segoe UI"/>
          <w:b/>
          <w:color w:val="2E75B6"/>
          <w:sz w:val="28"/>
        </w:rPr>
        <w:t>1.4 User stories</w:t>
      </w:r>
    </w:p>
    <w:p>
      <w:pPr>
        <w:spacing w:after="160" w:before="0"/>
      </w:pPr>
      <w:r>
        <w:rPr>
          <w:rFonts w:ascii="Segoe UI" w:hAnsi="Segoe UI" w:eastAsia="Segoe UI"/>
          <w:b w:val="0"/>
          <w:sz w:val="20"/>
        </w:rPr>
        <w:t>Derived from the 25-08-2026 discussion sections.</w:t>
      </w:r>
    </w:p>
    <w:p>
      <w:pPr>
        <w:spacing w:after="160" w:before="40"/>
      </w:pPr>
      <w:r>
        <w:rPr>
          <w:rFonts w:ascii="Segoe UI" w:hAnsi="Segoe UI" w:eastAsia="Segoe UI"/>
          <w:b/>
          <w:sz w:val="21"/>
        </w:rPr>
        <w:t xml:space="preserve">US-UM-01. </w:t>
      </w:r>
      <w:r>
        <w:rPr>
          <w:rFonts w:ascii="Segoe UI" w:hAnsi="Segoe UI" w:eastAsia="Segoe UI"/>
          <w:b w:val="0"/>
          <w:sz w:val="21"/>
        </w:rPr>
        <w:t>As a department / citizen user, I want to log in with User ID + OTP + captcha only (no password), so that authentication is simpler and consistent with OTP-based access.</w:t>
      </w:r>
    </w:p>
    <w:p>
      <w:pPr>
        <w:spacing w:after="160" w:before="40"/>
      </w:pPr>
      <w:r>
        <w:rPr>
          <w:rFonts w:ascii="Segoe UI" w:hAnsi="Segoe UI" w:eastAsia="Segoe UI"/>
          <w:b/>
          <w:sz w:val="21"/>
        </w:rPr>
        <w:t xml:space="preserve">US-UM-02. </w:t>
      </w:r>
      <w:r>
        <w:rPr>
          <w:rFonts w:ascii="Segoe UI" w:hAnsi="Segoe UI" w:eastAsia="Segoe UI"/>
          <w:b w:val="0"/>
          <w:sz w:val="21"/>
        </w:rPr>
        <w:t>As a department user, I want to optionally authenticate using biometrics that are refreshed every 5 years, so that secure biometric login is available for office users.</w:t>
      </w:r>
    </w:p>
    <w:p>
      <w:pPr>
        <w:spacing w:after="160" w:before="40"/>
      </w:pPr>
      <w:r>
        <w:rPr>
          <w:rFonts w:ascii="Segoe UI" w:hAnsi="Segoe UI" w:eastAsia="Segoe UI"/>
          <w:b/>
          <w:sz w:val="21"/>
        </w:rPr>
        <w:t xml:space="preserve">US-UM-03. </w:t>
      </w:r>
      <w:r>
        <w:rPr>
          <w:rFonts w:ascii="Segoe UI" w:hAnsi="Segoe UI" w:eastAsia="Segoe UI"/>
          <w:b w:val="0"/>
          <w:sz w:val="21"/>
        </w:rPr>
        <w:t>As a logged-in user, I want to select a role from my assigned list after login and have menus/actions update accordingly, so that I work under the correct role context.</w:t>
      </w:r>
    </w:p>
    <w:p>
      <w:pPr>
        <w:spacing w:after="160" w:before="40"/>
      </w:pPr>
      <w:r>
        <w:rPr>
          <w:rFonts w:ascii="Segoe UI" w:hAnsi="Segoe UI" w:eastAsia="Segoe UI"/>
          <w:b/>
          <w:sz w:val="21"/>
        </w:rPr>
        <w:t xml:space="preserve">US-UM-04. </w:t>
      </w:r>
      <w:r>
        <w:rPr>
          <w:rFonts w:ascii="Segoe UI" w:hAnsi="Segoe UI" w:eastAsia="Segoe UI"/>
          <w:b w:val="0"/>
          <w:sz w:val="21"/>
        </w:rPr>
        <w:t>As a logged-in user, I want to switch among my assigned roles whenever needed, so that I do not need to log out to change role context.</w:t>
      </w:r>
    </w:p>
    <w:p>
      <w:pPr>
        <w:spacing w:after="160" w:before="40"/>
      </w:pPr>
      <w:r>
        <w:rPr>
          <w:rFonts w:ascii="Segoe UI" w:hAnsi="Segoe UI" w:eastAsia="Segoe UI"/>
          <w:b/>
          <w:sz w:val="21"/>
        </w:rPr>
        <w:t xml:space="preserve">US-UM-05. </w:t>
      </w:r>
      <w:r>
        <w:rPr>
          <w:rFonts w:ascii="Segoe UI" w:hAnsi="Segoe UI" w:eastAsia="Segoe UI"/>
          <w:b w:val="0"/>
          <w:sz w:val="21"/>
        </w:rPr>
        <w:t>As a admin / creator, I want to assign a primary role without an end date at account creation, so that every user has a permanent home role.</w:t>
      </w:r>
    </w:p>
    <w:p>
      <w:pPr>
        <w:spacing w:after="160" w:before="40"/>
      </w:pPr>
      <w:r>
        <w:rPr>
          <w:rFonts w:ascii="Segoe UI" w:hAnsi="Segoe UI" w:eastAsia="Segoe UI"/>
          <w:b/>
          <w:sz w:val="21"/>
        </w:rPr>
        <w:t xml:space="preserve">US-UM-06. </w:t>
      </w:r>
      <w:r>
        <w:rPr>
          <w:rFonts w:ascii="Segoe UI" w:hAnsi="Segoe UI" w:eastAsia="Segoe UI"/>
          <w:b w:val="0"/>
          <w:sz w:val="21"/>
        </w:rPr>
        <w:t>As a admin, I want to assign secondary roles with mandatory end dates and auto-remove access after expiry, so that temporary access cannot continue beyond the approved period.</w:t>
      </w:r>
    </w:p>
    <w:p>
      <w:pPr>
        <w:spacing w:after="160" w:before="40"/>
      </w:pPr>
      <w:r>
        <w:rPr>
          <w:rFonts w:ascii="Segoe UI" w:hAnsi="Segoe UI" w:eastAsia="Segoe UI"/>
          <w:b/>
          <w:sz w:val="21"/>
        </w:rPr>
        <w:t xml:space="preserve">US-UM-07. </w:t>
      </w:r>
      <w:r>
        <w:rPr>
          <w:rFonts w:ascii="Segoe UI" w:hAnsi="Segoe UI" w:eastAsia="Segoe UI"/>
          <w:b w:val="0"/>
          <w:sz w:val="21"/>
        </w:rPr>
        <w:t>As a admin, I want to capture an approval letter when granting additional roles or changing the primary role, so that role changes remain auditable.</w:t>
      </w:r>
    </w:p>
    <w:p>
      <w:pPr>
        <w:spacing w:after="160" w:before="40"/>
      </w:pPr>
      <w:r>
        <w:rPr>
          <w:rFonts w:ascii="Segoe UI" w:hAnsi="Segoe UI" w:eastAsia="Segoe UI"/>
          <w:b/>
          <w:sz w:val="21"/>
        </w:rPr>
        <w:t xml:space="preserve">US-UM-08. </w:t>
      </w:r>
      <w:r>
        <w:rPr>
          <w:rFonts w:ascii="Segoe UI" w:hAnsi="Segoe UI" w:eastAsia="Segoe UI"/>
          <w:b w:val="0"/>
          <w:sz w:val="21"/>
        </w:rPr>
        <w:t>As a admin, I want to record the reason for primary-role change (promotion / transfer / demotion) and set a future effective date, so that role changes can be scheduled and justified.</w:t>
      </w:r>
    </w:p>
    <w:p>
      <w:pPr>
        <w:spacing w:after="160" w:before="40"/>
      </w:pPr>
      <w:r>
        <w:rPr>
          <w:rFonts w:ascii="Segoe UI" w:hAnsi="Segoe UI" w:eastAsia="Segoe UI"/>
          <w:b/>
          <w:sz w:val="21"/>
        </w:rPr>
        <w:t xml:space="preserve">US-UM-09. </w:t>
      </w:r>
      <w:r>
        <w:rPr>
          <w:rFonts w:ascii="Segoe UI" w:hAnsi="Segoe UI" w:eastAsia="Segoe UI"/>
          <w:b w:val="0"/>
          <w:sz w:val="21"/>
        </w:rPr>
        <w:t>As a super admin, I want to add roles with abbreviation/acronym, hierarchy level, and peer/subordinate edit permission flags, so that role masters stay configurable for the department.</w:t>
      </w:r>
    </w:p>
    <w:p>
      <w:pPr>
        <w:spacing w:after="160" w:before="40"/>
      </w:pPr>
      <w:r>
        <w:rPr>
          <w:rFonts w:ascii="Segoe UI" w:hAnsi="Segoe UI" w:eastAsia="Segoe UI"/>
          <w:b/>
          <w:sz w:val="21"/>
        </w:rPr>
        <w:t xml:space="preserve">US-UM-10. </w:t>
      </w:r>
      <w:r>
        <w:rPr>
          <w:rFonts w:ascii="Segoe UI" w:hAnsi="Segoe UI" w:eastAsia="Segoe UI"/>
          <w:b w:val="0"/>
          <w:sz w:val="21"/>
        </w:rPr>
        <w:t>As a department officer, I want to generate relieving and joining letters from the application in the department format, so that offline letter work is reduced.</w:t>
      </w:r>
    </w:p>
    <w:p>
      <w:pPr>
        <w:spacing w:after="160" w:before="40"/>
      </w:pPr>
      <w:r>
        <w:rPr>
          <w:rFonts w:ascii="Segoe UI" w:hAnsi="Segoe UI" w:eastAsia="Segoe UI"/>
          <w:b/>
          <w:sz w:val="21"/>
        </w:rPr>
        <w:t xml:space="preserve">US-UM-11. </w:t>
      </w:r>
      <w:r>
        <w:rPr>
          <w:rFonts w:ascii="Segoe UI" w:hAnsi="Segoe UI" w:eastAsia="Segoe UI"/>
          <w:b w:val="0"/>
          <w:sz w:val="21"/>
        </w:rPr>
        <w:t>As a admin, I want to create a user account instantly without an approval workflow, so that onboarding is not delayed by multi-level approvals.</w:t>
      </w:r>
    </w:p>
    <w:p>
      <w:pPr>
        <w:spacing w:after="160" w:before="40"/>
      </w:pPr>
      <w:r>
        <w:rPr>
          <w:rFonts w:ascii="Segoe UI" w:hAnsi="Segoe UI" w:eastAsia="Segoe UI"/>
          <w:b/>
          <w:sz w:val="21"/>
        </w:rPr>
        <w:t xml:space="preserve">US-UM-12. </w:t>
      </w:r>
      <w:r>
        <w:rPr>
          <w:rFonts w:ascii="Segoe UI" w:hAnsi="Segoe UI" w:eastAsia="Segoe UI"/>
          <w:b w:val="0"/>
          <w:sz w:val="21"/>
        </w:rPr>
        <w:t>As a management / admin, I want to view a daily login report with user counts and roles, so that login activity can be monitored.</w:t>
      </w:r>
    </w:p>
    <w:p>
      <w:r>
        <w:br w:type="page"/>
      </w:r>
    </w:p>
    <w:p>
      <w:pPr>
        <w:spacing w:after="120" w:before="280"/>
      </w:pPr>
      <w:r>
        <w:rPr>
          <w:rFonts w:ascii="Segoe UI" w:hAnsi="Segoe UI" w:eastAsia="Segoe UI"/>
          <w:b/>
          <w:color w:val="1F4E79"/>
          <w:sz w:val="36"/>
        </w:rPr>
        <w:t>2. 27-08-2026 — Registration Core (Registration, Appointment, Status tracking)</w:t>
      </w:r>
    </w:p>
    <w:tbl>
      <w:tblPr>
        <w:tblStyle w:val="TableGrid"/>
        <w:tblW w:type="auto" w:w="0"/>
        <w:tblLook w:firstColumn="1" w:firstRow="1" w:lastColumn="0" w:lastRow="0" w:noHBand="0" w:noVBand="1" w:val="04A0"/>
      </w:tblPr>
      <w:tblGrid>
        <w:gridCol w:w="5040"/>
        <w:gridCol w:w="5040"/>
      </w:tblGrid>
      <w:tr>
        <w:tc>
          <w:tcPr>
            <w:tcW w:type="dxa" w:w="2304"/>
            <w:shd w:val="clear" w:color="auto" w:fill="1F4E79"/>
          </w:tcPr>
          <w:p>
            <w:r>
              <w:rPr>
                <w:b/>
                <w:color w:val="FFFFFF"/>
              </w:rPr>
            </w:r>
            <w:r>
              <w:rPr>
                <w:rFonts w:ascii="Times New Roman" w:hAnsi="Times New Roman" w:eastAsia="Times New Roman"/>
                <w:b/>
                <w:color w:val="FFFFFF"/>
                <w:sz w:val="20"/>
              </w:rPr>
              <w:t>Field</w:t>
            </w:r>
          </w:p>
        </w:tc>
        <w:tc>
          <w:tcPr>
            <w:tcW w:type="dxa" w:w="7488"/>
            <w:shd w:val="clear" w:color="auto" w:fill="1F4E79"/>
          </w:tcPr>
          <w:p>
            <w:r>
              <w:rPr>
                <w:b/>
                <w:color w:val="FFFFFF"/>
              </w:rPr>
            </w:r>
            <w:r>
              <w:rPr>
                <w:rFonts w:ascii="Times New Roman" w:hAnsi="Times New Roman" w:eastAsia="Times New Roman"/>
                <w:b/>
                <w:color w:val="FFFFFF"/>
                <w:sz w:val="20"/>
              </w:rPr>
              <w:t>Details</w:t>
            </w:r>
          </w:p>
        </w:tc>
      </w:tr>
      <w:tr>
        <w:tc>
          <w:tcPr>
            <w:tcW w:type="dxa" w:w="2304"/>
          </w:tcPr>
          <w:p>
            <w:r/>
            <w:r>
              <w:rPr>
                <w:rFonts w:ascii="Times New Roman" w:hAnsi="Times New Roman" w:eastAsia="Times New Roman"/>
                <w:b w:val="0"/>
                <w:sz w:val="19"/>
              </w:rPr>
              <w:t>Date</w:t>
            </w:r>
          </w:p>
        </w:tc>
        <w:tc>
          <w:tcPr>
            <w:tcW w:type="dxa" w:w="7488"/>
          </w:tcPr>
          <w:p>
            <w:r/>
            <w:r>
              <w:rPr>
                <w:rFonts w:ascii="Times New Roman" w:hAnsi="Times New Roman" w:eastAsia="Times New Roman"/>
                <w:b w:val="0"/>
                <w:sz w:val="19"/>
              </w:rPr>
              <w:t>27-08-2026</w:t>
            </w:r>
          </w:p>
        </w:tc>
      </w:tr>
      <w:tr>
        <w:tc>
          <w:tcPr>
            <w:tcW w:type="dxa" w:w="2304"/>
          </w:tcPr>
          <w:p>
            <w:r/>
            <w:r>
              <w:rPr>
                <w:rFonts w:ascii="Times New Roman" w:hAnsi="Times New Roman" w:eastAsia="Times New Roman"/>
                <w:b w:val="0"/>
                <w:sz w:val="19"/>
              </w:rPr>
              <w:t>Topics</w:t>
            </w:r>
          </w:p>
        </w:tc>
        <w:tc>
          <w:tcPr>
            <w:tcW w:type="dxa" w:w="7488"/>
          </w:tcPr>
          <w:p>
            <w:r/>
            <w:r>
              <w:rPr>
                <w:rFonts w:ascii="Times New Roman" w:hAnsi="Times New Roman" w:eastAsia="Times New Roman"/>
                <w:b w:val="0"/>
                <w:sz w:val="19"/>
              </w:rPr>
              <w:t>Registration core: Registration, Appointment, Status tracking (current issues &amp; process walkthrough)</w:t>
            </w:r>
          </w:p>
        </w:tc>
      </w:tr>
      <w:tr>
        <w:tc>
          <w:tcPr>
            <w:tcW w:type="dxa" w:w="2304"/>
          </w:tcPr>
          <w:p>
            <w:r/>
            <w:r>
              <w:rPr>
                <w:rFonts w:ascii="Times New Roman" w:hAnsi="Times New Roman" w:eastAsia="Times New Roman"/>
                <w:b w:val="0"/>
                <w:sz w:val="19"/>
              </w:rPr>
              <w:t>Attendees</w:t>
            </w:r>
          </w:p>
        </w:tc>
        <w:tc>
          <w:tcPr>
            <w:tcW w:type="dxa" w:w="7488"/>
          </w:tcPr>
          <w:p>
            <w:r/>
            <w:r>
              <w:rPr>
                <w:rFonts w:ascii="Times New Roman" w:hAnsi="Times New Roman" w:eastAsia="Times New Roman"/>
                <w:b w:val="0"/>
                <w:sz w:val="19"/>
              </w:rPr>
              <w:t>Kaveri IT Cell, AIGR Comp, Project Manager, Assistant Manager (CMS)</w:t>
            </w:r>
          </w:p>
        </w:tc>
      </w:tr>
      <w:tr>
        <w:tc>
          <w:tcPr>
            <w:tcW w:type="dxa" w:w="2304"/>
          </w:tcPr>
          <w:p>
            <w:r/>
            <w:r>
              <w:rPr>
                <w:rFonts w:ascii="Times New Roman" w:hAnsi="Times New Roman" w:eastAsia="Times New Roman"/>
                <w:b w:val="0"/>
                <w:sz w:val="19"/>
              </w:rPr>
              <w:t>Version</w:t>
            </w:r>
          </w:p>
        </w:tc>
        <w:tc>
          <w:tcPr>
            <w:tcW w:type="dxa" w:w="7488"/>
          </w:tcPr>
          <w:p>
            <w:r/>
            <w:r>
              <w:rPr>
                <w:rFonts w:ascii="Times New Roman" w:hAnsi="Times New Roman" w:eastAsia="Times New Roman"/>
                <w:b w:val="0"/>
                <w:sz w:val="19"/>
              </w:rPr>
              <w:t>1.1 (04-09-2026) — Acts, Rules, notifications and ServiceDesk pain points added</w:t>
            </w:r>
          </w:p>
        </w:tc>
      </w:tr>
      <w:tr>
        <w:tc>
          <w:tcPr>
            <w:tcW w:type="dxa" w:w="2304"/>
          </w:tcPr>
          <w:p>
            <w:r/>
            <w:r>
              <w:rPr>
                <w:rFonts w:ascii="Times New Roman" w:hAnsi="Times New Roman" w:eastAsia="Times New Roman"/>
                <w:b w:val="0"/>
                <w:sz w:val="19"/>
              </w:rPr>
              <w:t>Source</w:t>
            </w:r>
          </w:p>
        </w:tc>
        <w:tc>
          <w:tcPr>
            <w:tcW w:type="dxa" w:w="7488"/>
          </w:tcPr>
          <w:p>
            <w:r/>
            <w:r>
              <w:rPr>
                <w:rFonts w:ascii="Times New Roman" w:hAnsi="Times New Roman" w:eastAsia="Times New Roman"/>
                <w:b w:val="0"/>
                <w:sz w:val="19"/>
              </w:rPr>
              <w:t>Document_Registration_requirement_27082026_v1.1.docx</w:t>
            </w:r>
          </w:p>
        </w:tc>
      </w:tr>
    </w:tbl>
    <w:p/>
    <w:p>
      <w:pPr>
        <w:spacing w:after="120" w:before="280"/>
      </w:pPr>
      <w:r>
        <w:rPr>
          <w:rFonts w:ascii="Segoe UI" w:hAnsi="Segoe UI" w:eastAsia="Segoe UI"/>
          <w:b/>
          <w:color w:val="2E75B6"/>
          <w:sz w:val="28"/>
        </w:rPr>
        <w:t>2.1 Discussion sections</w:t>
      </w:r>
    </w:p>
    <w:p>
      <w:pPr>
        <w:spacing w:after="120" w:before="160"/>
      </w:pPr>
      <w:r>
        <w:rPr>
          <w:rFonts w:ascii="Segoe UI" w:hAnsi="Segoe UI" w:eastAsia="Segoe UI"/>
          <w:b/>
          <w:color w:val="2F5496"/>
          <w:sz w:val="25"/>
        </w:rPr>
        <w:t>Document Classification</w:t>
      </w:r>
    </w:p>
    <w:p>
      <w:pPr>
        <w:pStyle w:val="ListBullet"/>
        <w:spacing w:after="60"/>
      </w:pPr>
      <w:r>
        <w:rPr>
          <w:rFonts w:ascii="Segoe UI" w:hAnsi="Segoe UI" w:eastAsia="Segoe UI"/>
          <w:b/>
          <w:sz w:val="21"/>
        </w:rPr>
        <w:t xml:space="preserve">Article/Sub-Article Selection: </w:t>
      </w:r>
      <w:r>
        <w:rPr>
          <w:rFonts w:ascii="Segoe UI" w:hAnsi="Segoe UI" w:eastAsia="Segoe UI"/>
          <w:b w:val="0"/>
          <w:sz w:val="21"/>
        </w:rPr>
        <w:t>Upgrade the current standard dropdown menus to a more intuitive, requirement-based selection interface to improve the citizen experience.</w:t>
      </w:r>
    </w:p>
    <w:p>
      <w:pPr>
        <w:spacing w:after="120" w:before="160"/>
      </w:pPr>
      <w:r>
        <w:rPr>
          <w:rFonts w:ascii="Segoe UI" w:hAnsi="Segoe UI" w:eastAsia="Segoe UI"/>
          <w:b/>
          <w:color w:val="2F5496"/>
          <w:sz w:val="25"/>
        </w:rPr>
        <w:t>Village Index Selection</w:t>
      </w:r>
    </w:p>
    <w:p>
      <w:pPr>
        <w:pStyle w:val="ListBullet"/>
        <w:spacing w:after="60"/>
      </w:pPr>
      <w:r>
        <w:rPr>
          <w:rFonts w:ascii="Segoe UI" w:hAnsi="Segoe UI" w:eastAsia="Segoe UI"/>
          <w:b/>
          <w:sz w:val="21"/>
        </w:rPr>
        <w:t xml:space="preserve">Geofencing: </w:t>
      </w:r>
      <w:r>
        <w:rPr>
          <w:rFonts w:ascii="Segoe UI" w:hAnsi="Segoe UI" w:eastAsia="Segoe UI"/>
          <w:b w:val="0"/>
          <w:sz w:val="21"/>
        </w:rPr>
        <w:t>Evaluate the technical feasibility of implementing geofencing for location accuracy.</w:t>
      </w:r>
    </w:p>
    <w:p>
      <w:pPr>
        <w:pStyle w:val="ListBullet"/>
        <w:spacing w:after="60"/>
      </w:pPr>
      <w:r>
        <w:rPr>
          <w:rFonts w:ascii="Segoe UI" w:hAnsi="Segoe UI" w:eastAsia="Segoe UI"/>
          <w:b/>
          <w:sz w:val="21"/>
        </w:rPr>
        <w:t xml:space="preserve">KSRSAC Integration: </w:t>
      </w:r>
      <w:r>
        <w:rPr>
          <w:rFonts w:ascii="Segoe UI" w:hAnsi="Segoe UI" w:eastAsia="Segoe UI"/>
          <w:b w:val="0"/>
          <w:sz w:val="21"/>
        </w:rPr>
        <w:t>Integrate with KSRSAC to automatically retrieve and populate Index-II village details.</w:t>
      </w:r>
    </w:p>
    <w:p>
      <w:pPr>
        <w:spacing w:after="120" w:before="160"/>
      </w:pPr>
      <w:r>
        <w:rPr>
          <w:rFonts w:ascii="Segoe UI" w:hAnsi="Segoe UI" w:eastAsia="Segoe UI"/>
          <w:b/>
          <w:color w:val="2F5496"/>
          <w:sz w:val="25"/>
        </w:rPr>
        <w:t>Property Details Interface</w:t>
      </w:r>
    </w:p>
    <w:p>
      <w:pPr>
        <w:pStyle w:val="ListBullet"/>
        <w:spacing w:after="60"/>
      </w:pPr>
      <w:r>
        <w:rPr>
          <w:rFonts w:ascii="Segoe UI" w:hAnsi="Segoe UI" w:eastAsia="Segoe UI"/>
          <w:b/>
          <w:sz w:val="21"/>
        </w:rPr>
        <w:t xml:space="preserve">Boundary Fields: </w:t>
      </w:r>
      <w:r>
        <w:rPr>
          <w:rFonts w:ascii="Segoe UI" w:hAnsi="Segoe UI" w:eastAsia="Segoe UI"/>
          <w:b w:val="0"/>
          <w:sz w:val="21"/>
        </w:rPr>
        <w:t>Remove the "East to West" and "North to South" text fields specifically for agricultural properties.</w:t>
      </w:r>
    </w:p>
    <w:p>
      <w:pPr>
        <w:pStyle w:val="ListBullet"/>
        <w:spacing w:after="60"/>
      </w:pPr>
      <w:r>
        <w:rPr>
          <w:rFonts w:ascii="Segoe UI" w:hAnsi="Segoe UI" w:eastAsia="Segoe UI"/>
          <w:b/>
          <w:sz w:val="21"/>
        </w:rPr>
        <w:t xml:space="preserve">Visual Mapping: </w:t>
      </w:r>
      <w:r>
        <w:rPr>
          <w:rFonts w:ascii="Segoe UI" w:hAnsi="Segoe UI" w:eastAsia="Segoe UI"/>
          <w:b w:val="0"/>
          <w:sz w:val="21"/>
        </w:rPr>
        <w:t>Implement a feature to display the property map visually, indicating the East, West, North, and South boundaries.</w:t>
      </w:r>
    </w:p>
    <w:p>
      <w:pPr>
        <w:spacing w:after="120" w:before="160"/>
      </w:pPr>
      <w:r>
        <w:rPr>
          <w:rFonts w:ascii="Segoe UI" w:hAnsi="Segoe UI" w:eastAsia="Segoe UI"/>
          <w:b/>
          <w:color w:val="2F5496"/>
          <w:sz w:val="25"/>
        </w:rPr>
        <w:t>Party Information Interface</w:t>
      </w:r>
    </w:p>
    <w:p>
      <w:pPr>
        <w:pStyle w:val="ListBullet"/>
        <w:spacing w:after="60"/>
      </w:pPr>
      <w:r>
        <w:rPr>
          <w:rFonts w:ascii="Segoe UI" w:hAnsi="Segoe UI" w:eastAsia="Segoe UI"/>
          <w:b/>
          <w:sz w:val="21"/>
        </w:rPr>
        <w:t xml:space="preserve">Dynamic Role Labels: </w:t>
      </w:r>
      <w:r>
        <w:rPr>
          <w:rFonts w:ascii="Segoe UI" w:hAnsi="Segoe UI" w:eastAsia="Segoe UI"/>
          <w:b w:val="0"/>
          <w:sz w:val="21"/>
        </w:rPr>
        <w:t>Update party labels automatically based on the transaction type (e.g., "Seller and Purchaser" for sales, or "Donor and Donee" for gifts).</w:t>
      </w:r>
    </w:p>
    <w:p>
      <w:pPr>
        <w:pStyle w:val="ListBullet"/>
        <w:spacing w:after="60"/>
      </w:pPr>
      <w:r>
        <w:rPr>
          <w:rFonts w:ascii="Segoe UI" w:hAnsi="Segoe UI" w:eastAsia="Segoe UI"/>
          <w:b/>
          <w:sz w:val="21"/>
        </w:rPr>
        <w:t xml:space="preserve">Aadhaar Integration: </w:t>
      </w:r>
      <w:r>
        <w:rPr>
          <w:rFonts w:ascii="Segoe UI" w:hAnsi="Segoe UI" w:eastAsia="Segoe UI"/>
          <w:b w:val="0"/>
          <w:sz w:val="21"/>
        </w:rPr>
        <w:t>Deploy service-specific SMS/message templates for Aadhaar OTP authentication.</w:t>
      </w:r>
    </w:p>
    <w:p>
      <w:pPr>
        <w:pStyle w:val="ListBullet"/>
        <w:spacing w:after="60"/>
      </w:pPr>
      <w:r>
        <w:rPr>
          <w:rFonts w:ascii="Segoe UI" w:hAnsi="Segoe UI" w:eastAsia="Segoe UI"/>
          <w:b/>
          <w:sz w:val="21"/>
        </w:rPr>
        <w:t xml:space="preserve">Smart Form Logic: </w:t>
      </w:r>
      <w:r>
        <w:rPr>
          <w:rFonts w:ascii="Segoe UI" w:hAnsi="Segoe UI" w:eastAsia="Segoe UI"/>
          <w:b w:val="0"/>
          <w:sz w:val="21"/>
        </w:rPr>
        <w:t>Auto-populate the gender field based on the user's selected salutation.</w:t>
      </w:r>
    </w:p>
    <w:p>
      <w:pPr>
        <w:pStyle w:val="ListBullet"/>
        <w:spacing w:after="60"/>
      </w:pPr>
      <w:r>
        <w:rPr>
          <w:rFonts w:ascii="Segoe UI" w:hAnsi="Segoe UI" w:eastAsia="Segoe UI"/>
          <w:b/>
          <w:sz w:val="21"/>
        </w:rPr>
        <w:t xml:space="preserve">Conditional Scheduling: </w:t>
      </w:r>
      <w:r>
        <w:rPr>
          <w:rFonts w:ascii="Segoe UI" w:hAnsi="Segoe UI" w:eastAsia="Segoe UI"/>
          <w:b w:val="0"/>
          <w:sz w:val="21"/>
        </w:rPr>
        <w:t>Configure the schedule allocation feature to appear only for transaction types that explicitly require it, hiding it for all others.</w:t>
      </w:r>
    </w:p>
    <w:p>
      <w:pPr>
        <w:spacing w:after="120" w:before="160"/>
      </w:pPr>
      <w:r>
        <w:rPr>
          <w:rFonts w:ascii="Segoe UI" w:hAnsi="Segoe UI" w:eastAsia="Segoe UI"/>
          <w:b/>
          <w:color w:val="2F5496"/>
          <w:sz w:val="25"/>
        </w:rPr>
        <w:t>Property Valuation</w:t>
      </w:r>
    </w:p>
    <w:p>
      <w:pPr>
        <w:pStyle w:val="ListBullet"/>
        <w:spacing w:after="60"/>
      </w:pPr>
      <w:r>
        <w:rPr>
          <w:rFonts w:ascii="Segoe UI" w:hAnsi="Segoe UI" w:eastAsia="Segoe UI"/>
          <w:b/>
          <w:sz w:val="21"/>
        </w:rPr>
        <w:t xml:space="preserve">User Interface Streamlining: </w:t>
      </w:r>
      <w:r>
        <w:rPr>
          <w:rFonts w:ascii="Segoe UI" w:hAnsi="Segoe UI" w:eastAsia="Segoe UI"/>
          <w:b w:val="0"/>
          <w:sz w:val="21"/>
        </w:rPr>
        <w:t>Hide the base valuation rate from citizens. Users should only select the property's physical characteristics (e.g., commercial, residential, dry, wet) to proceed.</w:t>
      </w:r>
    </w:p>
    <w:p>
      <w:pPr>
        <w:spacing w:after="120" w:before="160"/>
      </w:pPr>
      <w:r>
        <w:rPr>
          <w:rFonts w:ascii="Segoe UI" w:hAnsi="Segoe UI" w:eastAsia="Segoe UI"/>
          <w:b/>
          <w:color w:val="2F5496"/>
          <w:sz w:val="25"/>
        </w:rPr>
        <w:t>Review and Submission</w:t>
      </w:r>
    </w:p>
    <w:p>
      <w:pPr>
        <w:pStyle w:val="ListBullet"/>
        <w:spacing w:after="60"/>
      </w:pPr>
      <w:r>
        <w:rPr>
          <w:rFonts w:ascii="Segoe UI" w:hAnsi="Segoe UI" w:eastAsia="Segoe UI"/>
          <w:b/>
          <w:sz w:val="21"/>
        </w:rPr>
        <w:t xml:space="preserve">Dynamic Captions: </w:t>
      </w:r>
      <w:r>
        <w:rPr>
          <w:rFonts w:ascii="Segoe UI" w:hAnsi="Segoe UI" w:eastAsia="Segoe UI"/>
          <w:b w:val="0"/>
          <w:sz w:val="21"/>
        </w:rPr>
        <w:t>Ensure the "Consideration Amount" field label changes dynamically based on the nature of the document being submitted.</w:t>
      </w:r>
    </w:p>
    <w:p>
      <w:pPr>
        <w:pStyle w:val="ListBullet"/>
        <w:spacing w:after="60"/>
      </w:pPr>
      <w:r>
        <w:rPr>
          <w:rFonts w:ascii="Segoe UI" w:hAnsi="Segoe UI" w:eastAsia="Segoe UI"/>
          <w:b/>
          <w:sz w:val="21"/>
        </w:rPr>
        <w:t xml:space="preserve">Pre-Submission Preview: </w:t>
      </w:r>
      <w:r>
        <w:rPr>
          <w:rFonts w:ascii="Segoe UI" w:hAnsi="Segoe UI" w:eastAsia="Segoe UI"/>
          <w:b w:val="0"/>
          <w:sz w:val="21"/>
        </w:rPr>
        <w:t>Mandate a comprehensive document summary preview for the applicant to review before finalizing their submission for verification.</w:t>
      </w:r>
    </w:p>
    <w:p>
      <w:pPr>
        <w:spacing w:after="120" w:before="280"/>
      </w:pPr>
      <w:r>
        <w:rPr>
          <w:rFonts w:ascii="Segoe UI" w:hAnsi="Segoe UI" w:eastAsia="Segoe UI"/>
          <w:b/>
          <w:color w:val="2E75B6"/>
          <w:sz w:val="28"/>
        </w:rPr>
        <w:t>2.2 Primary Acts (Sections)</w:t>
      </w:r>
    </w:p>
    <w:tbl>
      <w:tblPr>
        <w:tblStyle w:val="TableGrid"/>
        <w:tblW w:type="auto" w:w="0"/>
        <w:tblLook w:firstColumn="1" w:firstRow="1" w:lastColumn="0" w:lastRow="0" w:noHBand="0" w:noVBand="1" w:val="04A0"/>
      </w:tblPr>
      <w:tblGrid>
        <w:gridCol w:w="3360"/>
        <w:gridCol w:w="3360"/>
        <w:gridCol w:w="3360"/>
      </w:tblGrid>
      <w:tr>
        <w:tc>
          <w:tcPr>
            <w:tcW w:type="dxa" w:w="3168"/>
            <w:shd w:val="clear" w:color="auto" w:fill="1F4E79"/>
          </w:tcPr>
          <w:p>
            <w:r>
              <w:rPr>
                <w:b/>
                <w:color w:val="FFFFFF"/>
              </w:rPr>
            </w:r>
            <w:r>
              <w:rPr>
                <w:rFonts w:ascii="Times New Roman" w:hAnsi="Times New Roman" w:eastAsia="Times New Roman"/>
                <w:b/>
                <w:color w:val="FFFFFF"/>
                <w:sz w:val="20"/>
              </w:rPr>
              <w:t>Act</w:t>
            </w:r>
          </w:p>
        </w:tc>
        <w:tc>
          <w:tcPr>
            <w:tcW w:type="dxa" w:w="2592"/>
            <w:shd w:val="clear" w:color="auto" w:fill="1F4E79"/>
          </w:tcPr>
          <w:p>
            <w:r>
              <w:rPr>
                <w:b/>
                <w:color w:val="FFFFFF"/>
              </w:rPr>
            </w:r>
            <w:r>
              <w:rPr>
                <w:rFonts w:ascii="Times New Roman" w:hAnsi="Times New Roman" w:eastAsia="Times New Roman"/>
                <w:b/>
                <w:color w:val="FFFFFF"/>
                <w:sz w:val="20"/>
              </w:rPr>
              <w:t>Sections</w:t>
            </w:r>
          </w:p>
        </w:tc>
        <w:tc>
          <w:tcPr>
            <w:tcW w:type="dxa" w:w="4032"/>
            <w:shd w:val="clear" w:color="auto" w:fill="1F4E79"/>
          </w:tcPr>
          <w:p>
            <w:r>
              <w:rPr>
                <w:b/>
                <w:color w:val="FFFFFF"/>
              </w:rPr>
            </w:r>
            <w:r>
              <w:rPr>
                <w:rFonts w:ascii="Times New Roman" w:hAnsi="Times New Roman" w:eastAsia="Times New Roman"/>
                <w:b/>
                <w:color w:val="FFFFFF"/>
                <w:sz w:val="20"/>
              </w:rPr>
              <w:t>Relevance</w:t>
            </w:r>
          </w:p>
        </w:tc>
      </w:tr>
      <w:tr>
        <w:tc>
          <w:tcPr>
            <w:tcW w:type="dxa" w:w="3168"/>
          </w:tcPr>
          <w:p>
            <w:r/>
            <w:r>
              <w:rPr>
                <w:rFonts w:ascii="Times New Roman" w:hAnsi="Times New Roman" w:eastAsia="Times New Roman"/>
                <w:b w:val="0"/>
                <w:sz w:val="19"/>
              </w:rPr>
              <w:t>The Registration Act, 1908 (Central Act 16 of 1908)</w:t>
            </w:r>
          </w:p>
        </w:tc>
        <w:tc>
          <w:tcPr>
            <w:tcW w:type="dxa" w:w="2592"/>
          </w:tcPr>
          <w:p>
            <w:r/>
            <w:r>
              <w:rPr>
                <w:rFonts w:ascii="Times New Roman" w:hAnsi="Times New Roman" w:eastAsia="Times New Roman"/>
                <w:b w:val="0"/>
                <w:sz w:val="19"/>
              </w:rPr>
              <w:t>Secs. 17–22, 23, 25, 28–35, 51–52, 58–61, 71–77, 78</w:t>
            </w:r>
          </w:p>
        </w:tc>
        <w:tc>
          <w:tcPr>
            <w:tcW w:type="dxa" w:w="4032"/>
          </w:tcPr>
          <w:p>
            <w:r/>
            <w:r>
              <w:rPr>
                <w:rFonts w:ascii="Times New Roman" w:hAnsi="Times New Roman" w:eastAsia="Times New Roman"/>
                <w:b w:val="0"/>
                <w:sz w:val="19"/>
              </w:rPr>
              <w:t>Compulsory / optional registration; presentation time &amp; place; examination; endorsements &amp; Sec. 60 certificate; refusal / appeal; registration fees — core Registration and Status tracking</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Secs. 5–7, 10–12, 28–31</w:t>
            </w:r>
          </w:p>
        </w:tc>
        <w:tc>
          <w:tcPr>
            <w:tcW w:type="dxa" w:w="4032"/>
          </w:tcPr>
          <w:p>
            <w:r/>
            <w:r>
              <w:rPr>
                <w:rFonts w:ascii="Times New Roman" w:hAnsi="Times New Roman" w:eastAsia="Times New Roman"/>
                <w:b w:val="0"/>
                <w:sz w:val="19"/>
              </w:rPr>
              <w:t>Districts / sub-districts; Registrars &amp; Sub-Registrars; place of registration — Appointment office selection and jurisdiction routing</w:t>
            </w:r>
          </w:p>
        </w:tc>
      </w:tr>
      <w:tr>
        <w:tc>
          <w:tcPr>
            <w:tcW w:type="dxa" w:w="3168"/>
          </w:tcPr>
          <w:p>
            <w:r/>
            <w:r>
              <w:rPr>
                <w:rFonts w:ascii="Times New Roman" w:hAnsi="Times New Roman" w:eastAsia="Times New Roman"/>
                <w:b w:val="0"/>
                <w:sz w:val="19"/>
              </w:rPr>
              <w:t>The Registration (Karnataka Amendment) Act, 2023 (Karnataka Act 47 of 2024)</w:t>
            </w:r>
          </w:p>
        </w:tc>
        <w:tc>
          <w:tcPr>
            <w:tcW w:type="dxa" w:w="2592"/>
          </w:tcPr>
          <w:p>
            <w:r/>
            <w:r>
              <w:rPr>
                <w:rFonts w:ascii="Times New Roman" w:hAnsi="Times New Roman" w:eastAsia="Times New Roman"/>
                <w:b w:val="0"/>
                <w:sz w:val="19"/>
              </w:rPr>
              <w:t>Secs. 22-B, 22-C, 22-D, 81-A, 81-B</w:t>
            </w:r>
          </w:p>
        </w:tc>
        <w:tc>
          <w:tcPr>
            <w:tcW w:type="dxa" w:w="4032"/>
          </w:tcPr>
          <w:p>
            <w:r/>
            <w:r>
              <w:rPr>
                <w:rFonts w:ascii="Times New Roman" w:hAnsi="Times New Roman" w:eastAsia="Times New Roman"/>
                <w:b w:val="0"/>
                <w:sz w:val="19"/>
              </w:rPr>
              <w:t>Refusal / cancellation of forged or prohibited documents; appeal; penalties — registration intake validation</w:t>
            </w:r>
          </w:p>
        </w:tc>
      </w:tr>
      <w:tr>
        <w:tc>
          <w:tcPr>
            <w:tcW w:type="dxa" w:w="3168"/>
          </w:tcPr>
          <w:p>
            <w:r/>
            <w:r>
              <w:rPr>
                <w:rFonts w:ascii="Times New Roman" w:hAnsi="Times New Roman" w:eastAsia="Times New Roman"/>
                <w:b w:val="0"/>
                <w:sz w:val="19"/>
              </w:rPr>
              <w:t>The Karnataka Stamp Act, 1957</w:t>
            </w:r>
          </w:p>
        </w:tc>
        <w:tc>
          <w:tcPr>
            <w:tcW w:type="dxa" w:w="2592"/>
          </w:tcPr>
          <w:p>
            <w:r/>
            <w:r>
              <w:rPr>
                <w:rFonts w:ascii="Times New Roman" w:hAnsi="Times New Roman" w:eastAsia="Times New Roman"/>
                <w:b w:val="0"/>
                <w:sz w:val="19"/>
              </w:rPr>
              <w:t>Secs. 3, 10, 33–39, 45-A, Schedule</w:t>
            </w:r>
          </w:p>
        </w:tc>
        <w:tc>
          <w:tcPr>
            <w:tcW w:type="dxa" w:w="4032"/>
          </w:tcPr>
          <w:p>
            <w:r/>
            <w:r>
              <w:rPr>
                <w:rFonts w:ascii="Times New Roman" w:hAnsi="Times New Roman" w:eastAsia="Times New Roman"/>
                <w:b w:val="0"/>
                <w:sz w:val="19"/>
              </w:rPr>
              <w:t>Stamp duty chargeable; payment modes; impounding; undervaluation reference — touched in 28-08 discussion</w:t>
            </w:r>
          </w:p>
        </w:tc>
      </w:tr>
      <w:tr>
        <w:tc>
          <w:tcPr>
            <w:tcW w:type="dxa" w:w="3168"/>
          </w:tcPr>
          <w:p>
            <w:r/>
            <w:r>
              <w:rPr>
                <w:rFonts w:ascii="Times New Roman" w:hAnsi="Times New Roman" w:eastAsia="Times New Roman"/>
                <w:b w:val="0"/>
                <w:sz w:val="19"/>
              </w:rPr>
              <w:t>The Transfer of Property Act, 1882</w:t>
            </w:r>
          </w:p>
        </w:tc>
        <w:tc>
          <w:tcPr>
            <w:tcW w:type="dxa" w:w="2592"/>
          </w:tcPr>
          <w:p>
            <w:r/>
            <w:r>
              <w:rPr>
                <w:rFonts w:ascii="Times New Roman" w:hAnsi="Times New Roman" w:eastAsia="Times New Roman"/>
                <w:b w:val="0"/>
                <w:sz w:val="19"/>
              </w:rPr>
              <w:t>Sec. 54</w:t>
            </w:r>
          </w:p>
        </w:tc>
        <w:tc>
          <w:tcPr>
            <w:tcW w:type="dxa" w:w="4032"/>
          </w:tcPr>
          <w:p>
            <w:r/>
            <w:r>
              <w:rPr>
                <w:rFonts w:ascii="Times New Roman" w:hAnsi="Times New Roman" w:eastAsia="Times New Roman"/>
                <w:b w:val="0"/>
                <w:sz w:val="19"/>
              </w:rPr>
              <w:t>Sale of immovable property of value &gt; ₹100 requires registered instrument — drives Article / transaction-type selection for conveyance</w:t>
            </w:r>
          </w:p>
        </w:tc>
      </w:tr>
    </w:tbl>
    <w:p/>
    <w:p>
      <w:pPr>
        <w:spacing w:after="120" w:before="280"/>
      </w:pPr>
      <w:r>
        <w:rPr>
          <w:rFonts w:ascii="Segoe UI" w:hAnsi="Segoe UI" w:eastAsia="Segoe UI"/>
          <w:b/>
          <w:color w:val="2E75B6"/>
          <w:sz w:val="28"/>
        </w:rPr>
        <w:t>2.3 Primary Rules</w:t>
      </w:r>
    </w:p>
    <w:tbl>
      <w:tblPr>
        <w:tblStyle w:val="TableGrid"/>
        <w:tblW w:type="auto" w:w="0"/>
        <w:tblLook w:firstColumn="1" w:firstRow="1" w:lastColumn="0" w:lastRow="0" w:noHBand="0" w:noVBand="1" w:val="04A0"/>
      </w:tblPr>
      <w:tblGrid>
        <w:gridCol w:w="3360"/>
        <w:gridCol w:w="3360"/>
        <w:gridCol w:w="3360"/>
      </w:tblGrid>
      <w:tr>
        <w:tc>
          <w:tcPr>
            <w:tcW w:type="dxa" w:w="3456"/>
            <w:shd w:val="clear" w:color="auto" w:fill="1F4E79"/>
          </w:tcPr>
          <w:p>
            <w:r>
              <w:rPr>
                <w:b/>
                <w:color w:val="FFFFFF"/>
              </w:rPr>
            </w:r>
            <w:r>
              <w:rPr>
                <w:rFonts w:ascii="Times New Roman" w:hAnsi="Times New Roman" w:eastAsia="Times New Roman"/>
                <w:b/>
                <w:color w:val="FFFFFF"/>
                <w:sz w:val="20"/>
              </w:rPr>
              <w:t>Rule</w:t>
            </w:r>
          </w:p>
        </w:tc>
        <w:tc>
          <w:tcPr>
            <w:tcW w:type="dxa" w:w="2304"/>
            <w:shd w:val="clear" w:color="auto" w:fill="1F4E79"/>
          </w:tcPr>
          <w:p>
            <w:r>
              <w:rPr>
                <w:b/>
                <w:color w:val="FFFFFF"/>
              </w:rPr>
            </w:r>
            <w:r>
              <w:rPr>
                <w:rFonts w:ascii="Times New Roman" w:hAnsi="Times New Roman" w:eastAsia="Times New Roman"/>
                <w:b/>
                <w:color w:val="FFFFFF"/>
                <w:sz w:val="20"/>
              </w:rPr>
              <w:t>Key provisions</w:t>
            </w:r>
          </w:p>
        </w:tc>
        <w:tc>
          <w:tcPr>
            <w:tcW w:type="dxa" w:w="4032"/>
            <w:shd w:val="clear" w:color="auto" w:fill="1F4E79"/>
          </w:tcPr>
          <w:p>
            <w:r>
              <w:rPr>
                <w:b/>
                <w:color w:val="FFFFFF"/>
              </w:rPr>
            </w:r>
            <w:r>
              <w:rPr>
                <w:rFonts w:ascii="Times New Roman" w:hAnsi="Times New Roman" w:eastAsia="Times New Roman"/>
                <w:b/>
                <w:color w:val="FFFFFF"/>
                <w:sz w:val="20"/>
              </w:rPr>
              <w:t>Relevance to topic</w:t>
            </w:r>
          </w:p>
        </w:tc>
      </w:tr>
      <w:tr>
        <w:tc>
          <w:tcPr>
            <w:tcW w:type="dxa" w:w="3456"/>
          </w:tcPr>
          <w:p>
            <w:r/>
            <w:r>
              <w:rPr>
                <w:rFonts w:ascii="Times New Roman" w:hAnsi="Times New Roman" w:eastAsia="Times New Roman"/>
                <w:b w:val="0"/>
                <w:sz w:val="19"/>
              </w:rPr>
              <w:t>Karnataka Registration Rules, 1965 — Ch. II</w:t>
            </w:r>
          </w:p>
        </w:tc>
        <w:tc>
          <w:tcPr>
            <w:tcW w:type="dxa" w:w="2304"/>
          </w:tcPr>
          <w:p>
            <w:r/>
            <w:r>
              <w:rPr>
                <w:rFonts w:ascii="Times New Roman" w:hAnsi="Times New Roman" w:eastAsia="Times New Roman"/>
                <w:b w:val="0"/>
                <w:sz w:val="19"/>
              </w:rPr>
              <w:t>Rules 3, 5</w:t>
            </w:r>
          </w:p>
        </w:tc>
        <w:tc>
          <w:tcPr>
            <w:tcW w:type="dxa" w:w="4032"/>
          </w:tcPr>
          <w:p>
            <w:r/>
            <w:r>
              <w:rPr>
                <w:rFonts w:ascii="Times New Roman" w:hAnsi="Times New Roman" w:eastAsia="Times New Roman"/>
                <w:b w:val="0"/>
                <w:sz w:val="19"/>
              </w:rPr>
              <w:t>Office hours and holidays — Appointment / slot calendar</w:t>
            </w:r>
          </w:p>
        </w:tc>
      </w:tr>
      <w:tr>
        <w:tc>
          <w:tcPr>
            <w:tcW w:type="dxa" w:w="3456"/>
          </w:tcPr>
          <w:p>
            <w:r/>
            <w:r>
              <w:rPr>
                <w:rFonts w:ascii="Times New Roman" w:hAnsi="Times New Roman" w:eastAsia="Times New Roman"/>
                <w:b w:val="0"/>
                <w:sz w:val="19"/>
              </w:rPr>
              <w:t>Karnataka Registration Rules, 1965 — Ch. VI</w:t>
            </w:r>
          </w:p>
        </w:tc>
        <w:tc>
          <w:tcPr>
            <w:tcW w:type="dxa" w:w="2304"/>
          </w:tcPr>
          <w:p>
            <w:r/>
            <w:r>
              <w:rPr>
                <w:rFonts w:ascii="Times New Roman" w:hAnsi="Times New Roman" w:eastAsia="Times New Roman"/>
                <w:b w:val="0"/>
                <w:sz w:val="19"/>
              </w:rPr>
              <w:t>Rules 13–15</w:t>
            </w:r>
          </w:p>
        </w:tc>
        <w:tc>
          <w:tcPr>
            <w:tcW w:type="dxa" w:w="4032"/>
          </w:tcPr>
          <w:p>
            <w:r/>
            <w:r>
              <w:rPr>
                <w:rFonts w:ascii="Times New Roman" w:hAnsi="Times New Roman" w:eastAsia="Times New Roman"/>
                <w:b w:val="0"/>
                <w:sz w:val="19"/>
              </w:rPr>
              <w:t>Territorial divisions; survey / city survey description — Village Index and property details (KSRSAC / GIS)</w:t>
            </w:r>
          </w:p>
        </w:tc>
      </w:tr>
      <w:tr>
        <w:tc>
          <w:tcPr>
            <w:tcW w:type="dxa" w:w="3456"/>
          </w:tcPr>
          <w:p>
            <w:r/>
            <w:r>
              <w:rPr>
                <w:rFonts w:ascii="Times New Roman" w:hAnsi="Times New Roman" w:eastAsia="Times New Roman"/>
                <w:b w:val="0"/>
                <w:sz w:val="19"/>
              </w:rPr>
              <w:t>Karnataka Registration Rules, 1965 — Ch. IX</w:t>
            </w:r>
          </w:p>
        </w:tc>
        <w:tc>
          <w:tcPr>
            <w:tcW w:type="dxa" w:w="2304"/>
          </w:tcPr>
          <w:p>
            <w:r/>
            <w:r>
              <w:rPr>
                <w:rFonts w:ascii="Times New Roman" w:hAnsi="Times New Roman" w:eastAsia="Times New Roman"/>
                <w:b w:val="0"/>
                <w:sz w:val="19"/>
              </w:rPr>
              <w:t>Rules 37, 40–46, 51–55</w:t>
            </w:r>
          </w:p>
        </w:tc>
        <w:tc>
          <w:tcPr>
            <w:tcW w:type="dxa" w:w="4032"/>
          </w:tcPr>
          <w:p>
            <w:r/>
            <w:r>
              <w:rPr>
                <w:rFonts w:ascii="Times New Roman" w:hAnsi="Times New Roman" w:eastAsia="Times New Roman"/>
                <w:b w:val="0"/>
                <w:sz w:val="19"/>
              </w:rPr>
              <w:t>Office where document may be registered; presentation; examination; endorsement; suspension (fine / stamp); condonation — Registration &amp; Status</w:t>
            </w:r>
          </w:p>
        </w:tc>
      </w:tr>
      <w:tr>
        <w:tc>
          <w:tcPr>
            <w:tcW w:type="dxa" w:w="3456"/>
          </w:tcPr>
          <w:p>
            <w:r/>
            <w:r>
              <w:rPr>
                <w:rFonts w:ascii="Times New Roman" w:hAnsi="Times New Roman" w:eastAsia="Times New Roman"/>
                <w:b w:val="0"/>
                <w:sz w:val="19"/>
              </w:rPr>
              <w:t>Karnataka Registration Rules, 1965 — Ch. XII / XVI</w:t>
            </w:r>
          </w:p>
        </w:tc>
        <w:tc>
          <w:tcPr>
            <w:tcW w:type="dxa" w:w="2304"/>
          </w:tcPr>
          <w:p>
            <w:r/>
            <w:r>
              <w:rPr>
                <w:rFonts w:ascii="Times New Roman" w:hAnsi="Times New Roman" w:eastAsia="Times New Roman"/>
                <w:b w:val="0"/>
                <w:sz w:val="19"/>
              </w:rPr>
              <w:t>Rules 71–73, 78–79, 94, 104</w:t>
            </w:r>
          </w:p>
        </w:tc>
        <w:tc>
          <w:tcPr>
            <w:tcW w:type="dxa" w:w="4032"/>
          </w:tcPr>
          <w:p>
            <w:r/>
            <w:r>
              <w:rPr>
                <w:rFonts w:ascii="Times New Roman" w:hAnsi="Times New Roman" w:eastAsia="Times New Roman"/>
                <w:b w:val="0"/>
                <w:sz w:val="19"/>
              </w:rPr>
              <w:t>Executant examination; thumb impression / photograph; endorsements; Sec. 60 certificate — Registration completion</w:t>
            </w:r>
          </w:p>
        </w:tc>
      </w:tr>
      <w:tr>
        <w:tc>
          <w:tcPr>
            <w:tcW w:type="dxa" w:w="3456"/>
          </w:tcPr>
          <w:p>
            <w:r/>
            <w:r>
              <w:rPr>
                <w:rFonts w:ascii="Times New Roman" w:hAnsi="Times New Roman" w:eastAsia="Times New Roman"/>
                <w:b w:val="0"/>
                <w:sz w:val="19"/>
              </w:rPr>
              <w:t>Karnataka Registration Rules, 1965 — Ch. XVII / XXV</w:t>
            </w:r>
          </w:p>
        </w:tc>
        <w:tc>
          <w:tcPr>
            <w:tcW w:type="dxa" w:w="2304"/>
          </w:tcPr>
          <w:p>
            <w:r/>
            <w:r>
              <w:rPr>
                <w:rFonts w:ascii="Times New Roman" w:hAnsi="Times New Roman" w:eastAsia="Times New Roman"/>
                <w:b w:val="0"/>
                <w:sz w:val="19"/>
              </w:rPr>
              <w:t>Rules 110–118, 175–188</w:t>
            </w:r>
          </w:p>
        </w:tc>
        <w:tc>
          <w:tcPr>
            <w:tcW w:type="dxa" w:w="4032"/>
          </w:tcPr>
          <w:p>
            <w:r/>
            <w:r>
              <w:rPr>
                <w:rFonts w:ascii="Times New Roman" w:hAnsi="Times New Roman" w:eastAsia="Times New Roman"/>
                <w:b w:val="0"/>
                <w:sz w:val="19"/>
              </w:rPr>
              <w:t>Receipts; return of document; appeal against refusal — Status tracking termini</w:t>
            </w:r>
          </w:p>
        </w:tc>
      </w:tr>
      <w:tr>
        <w:tc>
          <w:tcPr>
            <w:tcW w:type="dxa" w:w="3456"/>
          </w:tcPr>
          <w:p>
            <w:r/>
            <w:r>
              <w:rPr>
                <w:rFonts w:ascii="Times New Roman" w:hAnsi="Times New Roman" w:eastAsia="Times New Roman"/>
                <w:b w:val="0"/>
                <w:sz w:val="19"/>
              </w:rPr>
              <w:t>Karnataka Stamp Rules, 1958 / e-Stamping Rules, 2009</w:t>
            </w:r>
          </w:p>
        </w:tc>
        <w:tc>
          <w:tcPr>
            <w:tcW w:type="dxa" w:w="2304"/>
          </w:tcPr>
          <w:p>
            <w:r/>
            <w:r>
              <w:rPr>
                <w:rFonts w:ascii="Times New Roman" w:hAnsi="Times New Roman" w:eastAsia="Times New Roman"/>
                <w:b w:val="0"/>
                <w:sz w:val="19"/>
              </w:rPr>
              <w:t>Stamp payment procedures</w:t>
            </w:r>
          </w:p>
        </w:tc>
        <w:tc>
          <w:tcPr>
            <w:tcW w:type="dxa" w:w="4032"/>
          </w:tcPr>
          <w:p>
            <w:r/>
            <w:r>
              <w:rPr>
                <w:rFonts w:ascii="Times New Roman" w:hAnsi="Times New Roman" w:eastAsia="Times New Roman"/>
                <w:b w:val="0"/>
                <w:sz w:val="19"/>
              </w:rPr>
              <w:t>Impressed / franking / e-Stamp at presentation — Payment visibility (28-08)</w:t>
            </w:r>
          </w:p>
        </w:tc>
      </w:tr>
    </w:tbl>
    <w:p/>
    <w:p>
      <w:pPr>
        <w:spacing w:after="120" w:before="280"/>
      </w:pPr>
      <w:r>
        <w:rPr>
          <w:rFonts w:ascii="Segoe UI" w:hAnsi="Segoe UI" w:eastAsia="Segoe UI"/>
          <w:b/>
          <w:color w:val="2E75B6"/>
          <w:sz w:val="28"/>
        </w:rPr>
        <w:t>2.4 Notifications / amendments</w:t>
      </w:r>
    </w:p>
    <w:tbl>
      <w:tblPr>
        <w:tblStyle w:val="TableGrid"/>
        <w:tblW w:type="auto" w:w="0"/>
        <w:tblLook w:firstColumn="1" w:firstRow="1" w:lastColumn="0" w:lastRow="0" w:noHBand="0" w:noVBand="1" w:val="04A0"/>
      </w:tblPr>
      <w:tblGrid>
        <w:gridCol w:w="3360"/>
        <w:gridCol w:w="3360"/>
        <w:gridCol w:w="3360"/>
      </w:tblGrid>
      <w:tr>
        <w:tc>
          <w:tcPr>
            <w:tcW w:type="dxa" w:w="3456"/>
            <w:shd w:val="clear" w:color="auto" w:fill="1F4E79"/>
          </w:tcPr>
          <w:p>
            <w:r>
              <w:rPr>
                <w:b/>
                <w:color w:val="FFFFFF"/>
              </w:rPr>
            </w:r>
            <w:r>
              <w:rPr>
                <w:rFonts w:ascii="Times New Roman" w:hAnsi="Times New Roman" w:eastAsia="Times New Roman"/>
                <w:b/>
                <w:color w:val="FFFFFF"/>
                <w:sz w:val="20"/>
              </w:rPr>
              <w:t>Instrument</w:t>
            </w:r>
          </w:p>
        </w:tc>
        <w:tc>
          <w:tcPr>
            <w:tcW w:type="dxa" w:w="3168"/>
            <w:shd w:val="clear" w:color="auto" w:fill="1F4E79"/>
          </w:tcPr>
          <w:p>
            <w:r>
              <w:rPr>
                <w:b/>
                <w:color w:val="FFFFFF"/>
              </w:rPr>
            </w:r>
            <w:r>
              <w:rPr>
                <w:rFonts w:ascii="Times New Roman" w:hAnsi="Times New Roman" w:eastAsia="Times New Roman"/>
                <w:b/>
                <w:color w:val="FFFFFF"/>
                <w:sz w:val="20"/>
              </w:rPr>
              <w:t>Effect</w:t>
            </w:r>
          </w:p>
        </w:tc>
        <w:tc>
          <w:tcPr>
            <w:tcW w:type="dxa" w:w="3168"/>
            <w:shd w:val="clear" w:color="auto" w:fill="1F4E79"/>
          </w:tcPr>
          <w:p>
            <w:r>
              <w:rPr>
                <w:b/>
                <w:color w:val="FFFFFF"/>
              </w:rPr>
            </w:r>
            <w:r>
              <w:rPr>
                <w:rFonts w:ascii="Times New Roman" w:hAnsi="Times New Roman" w:eastAsia="Times New Roman"/>
                <w:b/>
                <w:color w:val="FFFFFF"/>
                <w:sz w:val="20"/>
              </w:rPr>
              <w:t>Relevance</w:t>
            </w:r>
          </w:p>
        </w:tc>
      </w:tr>
      <w:tr>
        <w:tc>
          <w:tcPr>
            <w:tcW w:type="dxa" w:w="3456"/>
          </w:tcPr>
          <w:p>
            <w:r/>
            <w:r>
              <w:rPr>
                <w:rFonts w:ascii="Times New Roman" w:hAnsi="Times New Roman" w:eastAsia="Times New Roman"/>
                <w:b w:val="0"/>
                <w:sz w:val="19"/>
              </w:rPr>
              <w:t>RGN 2/2002-03 (1 Apr 2002; w.e.f. 4 Apr 2002)</w:t>
            </w:r>
          </w:p>
        </w:tc>
        <w:tc>
          <w:tcPr>
            <w:tcW w:type="dxa" w:w="3168"/>
          </w:tcPr>
          <w:p>
            <w:r/>
            <w:r>
              <w:rPr>
                <w:rFonts w:ascii="Times New Roman" w:hAnsi="Times New Roman" w:eastAsia="Times New Roman"/>
                <w:b w:val="0"/>
                <w:sz w:val="19"/>
              </w:rPr>
              <w:t>Rule 19-A document sheets; Rules 22-A–22-C; Rule 40 photograph / digital photo</w:t>
            </w:r>
          </w:p>
        </w:tc>
        <w:tc>
          <w:tcPr>
            <w:tcW w:type="dxa" w:w="3168"/>
          </w:tcPr>
          <w:p>
            <w:r/>
            <w:r>
              <w:rPr>
                <w:rFonts w:ascii="Times New Roman" w:hAnsi="Times New Roman" w:eastAsia="Times New Roman"/>
                <w:b w:val="0"/>
                <w:sz w:val="19"/>
              </w:rPr>
              <w:t>Document format and photo at presentation</w:t>
            </w:r>
          </w:p>
        </w:tc>
      </w:tr>
      <w:tr>
        <w:tc>
          <w:tcPr>
            <w:tcW w:type="dxa" w:w="3456"/>
          </w:tcPr>
          <w:p>
            <w:r/>
            <w:r>
              <w:rPr>
                <w:rFonts w:ascii="Times New Roman" w:hAnsi="Times New Roman" w:eastAsia="Times New Roman"/>
                <w:b w:val="0"/>
                <w:sz w:val="19"/>
              </w:rPr>
              <w:t>RD 403 ESR 85 (27 May 1986) as amended by RD/46/MNMU/2025 (29 Aug 2025)</w:t>
            </w:r>
          </w:p>
        </w:tc>
        <w:tc>
          <w:tcPr>
            <w:tcW w:type="dxa" w:w="3168"/>
          </w:tcPr>
          <w:p>
            <w:r/>
            <w:r>
              <w:rPr>
                <w:rFonts w:ascii="Times New Roman" w:hAnsi="Times New Roman" w:eastAsia="Times New Roman"/>
                <w:b w:val="0"/>
                <w:sz w:val="19"/>
              </w:rPr>
              <w:t>Table of Registration Fees under Sec. 78 — fee revision w.e.f. 31 Aug 2025</w:t>
            </w:r>
          </w:p>
        </w:tc>
        <w:tc>
          <w:tcPr>
            <w:tcW w:type="dxa" w:w="3168"/>
          </w:tcPr>
          <w:p>
            <w:r/>
            <w:r>
              <w:rPr>
                <w:rFonts w:ascii="Times New Roman" w:hAnsi="Times New Roman" w:eastAsia="Times New Roman"/>
                <w:b w:val="0"/>
                <w:sz w:val="19"/>
              </w:rPr>
              <w:t>Registration fee calculator / payment amount</w:t>
            </w:r>
          </w:p>
        </w:tc>
      </w:tr>
      <w:tr>
        <w:tc>
          <w:tcPr>
            <w:tcW w:type="dxa" w:w="3456"/>
          </w:tcPr>
          <w:p>
            <w:r/>
            <w:r>
              <w:rPr>
                <w:rFonts w:ascii="Times New Roman" w:hAnsi="Times New Roman" w:eastAsia="Times New Roman"/>
                <w:b w:val="0"/>
                <w:sz w:val="19"/>
              </w:rPr>
              <w:t>RD 380 MUNOMU 2008 (8 Apr 2009)</w:t>
            </w:r>
          </w:p>
        </w:tc>
        <w:tc>
          <w:tcPr>
            <w:tcW w:type="dxa" w:w="3168"/>
          </w:tcPr>
          <w:p>
            <w:r/>
            <w:r>
              <w:rPr>
                <w:rFonts w:ascii="Times New Roman" w:hAnsi="Times New Roman" w:eastAsia="Times New Roman"/>
                <w:b w:val="0"/>
                <w:sz w:val="19"/>
              </w:rPr>
              <w:t>Karnataka Stamp (Payment of Duty by Means of e-Stamping) Rules, 2009</w:t>
            </w:r>
          </w:p>
        </w:tc>
        <w:tc>
          <w:tcPr>
            <w:tcW w:type="dxa" w:w="3168"/>
          </w:tcPr>
          <w:p>
            <w:r/>
            <w:r>
              <w:rPr>
                <w:rFonts w:ascii="Times New Roman" w:hAnsi="Times New Roman" w:eastAsia="Times New Roman"/>
                <w:b w:val="0"/>
                <w:sz w:val="19"/>
              </w:rPr>
              <w:t>e-Stamp payment and verification at SRO</w:t>
            </w:r>
          </w:p>
        </w:tc>
      </w:tr>
      <w:tr>
        <w:tc>
          <w:tcPr>
            <w:tcW w:type="dxa" w:w="3456"/>
          </w:tcPr>
          <w:p>
            <w:r/>
            <w:r>
              <w:rPr>
                <w:rFonts w:ascii="Times New Roman" w:hAnsi="Times New Roman" w:eastAsia="Times New Roman"/>
                <w:b w:val="0"/>
                <w:sz w:val="19"/>
              </w:rPr>
              <w:t>Stamp Act Sec. 45-B (Act 8 of 2003) / Undervaluation Rules, 1977 (GSR 81)</w:t>
            </w:r>
          </w:p>
        </w:tc>
        <w:tc>
          <w:tcPr>
            <w:tcW w:type="dxa" w:w="3168"/>
          </w:tcPr>
          <w:p>
            <w:r/>
            <w:r>
              <w:rPr>
                <w:rFonts w:ascii="Times New Roman" w:hAnsi="Times New Roman" w:eastAsia="Times New Roman"/>
                <w:b w:val="0"/>
                <w:sz w:val="19"/>
              </w:rPr>
              <w:t>CVC market value guidelines; Sec. 45-A reference / Form I</w:t>
            </w:r>
          </w:p>
        </w:tc>
        <w:tc>
          <w:tcPr>
            <w:tcW w:type="dxa" w:w="3168"/>
          </w:tcPr>
          <w:p>
            <w:r/>
            <w:r>
              <w:rPr>
                <w:rFonts w:ascii="Times New Roman" w:hAnsi="Times New Roman" w:eastAsia="Times New Roman"/>
                <w:b w:val="0"/>
                <w:sz w:val="19"/>
              </w:rPr>
              <w:t>Guidance value &amp; undervaluation / impound (noted on 28-08)</w:t>
            </w:r>
          </w:p>
        </w:tc>
      </w:tr>
    </w:tbl>
    <w:p/>
    <w:p>
      <w:pPr>
        <w:spacing w:after="120" w:before="280"/>
      </w:pPr>
      <w:r>
        <w:rPr>
          <w:rFonts w:ascii="Segoe UI" w:hAnsi="Segoe UI" w:eastAsia="Segoe UI"/>
          <w:b/>
          <w:color w:val="2E75B6"/>
          <w:sz w:val="28"/>
        </w:rPr>
        <w:t>2.5 Pain points</w:t>
      </w:r>
    </w:p>
    <w:p>
      <w:pPr>
        <w:spacing w:after="120" w:before="0"/>
      </w:pPr>
      <w:r>
        <w:rPr>
          <w:rFonts w:ascii="Segoe UI" w:hAnsi="Segoe UI" w:eastAsia="Segoe UI"/>
          <w:b w:val="0"/>
          <w:sz w:val="20"/>
        </w:rPr>
        <w:t>Registration core — Registration, Appointment, Status tracking (aligned to 27-08 discussion notes). Source: ServiceDeskIssuesList.xlsx (OverallList + Categorized).</w:t>
      </w:r>
    </w:p>
    <w:tbl>
      <w:tblPr>
        <w:tblStyle w:val="TableGrid"/>
        <w:tblW w:type="auto" w:w="0"/>
        <w:tblLook w:firstColumn="1" w:firstRow="1" w:lastColumn="0" w:lastRow="0" w:noHBand="0" w:noVBand="1" w:val="04A0"/>
      </w:tblPr>
      <w:tblGrid>
        <w:gridCol w:w="5040"/>
        <w:gridCol w:w="5040"/>
      </w:tblGrid>
      <w:tr>
        <w:tc>
          <w:tcPr>
            <w:tcW w:type="dxa" w:w="3744"/>
            <w:shd w:val="clear" w:color="auto" w:fill="1F4E79"/>
          </w:tcPr>
          <w:p>
            <w:r>
              <w:rPr>
                <w:b/>
                <w:color w:val="FFFFFF"/>
              </w:rPr>
            </w:r>
            <w:r>
              <w:rPr>
                <w:rFonts w:ascii="Times New Roman" w:hAnsi="Times New Roman" w:eastAsia="Times New Roman"/>
                <w:b/>
                <w:color w:val="FFFFFF"/>
                <w:sz w:val="20"/>
              </w:rPr>
              <w:t>Pain point</w:t>
            </w:r>
          </w:p>
        </w:tc>
        <w:tc>
          <w:tcPr>
            <w:tcW w:type="dxa" w:w="6048"/>
            <w:shd w:val="clear" w:color="auto" w:fill="1F4E79"/>
          </w:tcPr>
          <w:p>
            <w:r>
              <w:rPr>
                <w:b/>
                <w:color w:val="FFFFFF"/>
              </w:rPr>
            </w:r>
            <w:r>
              <w:rPr>
                <w:rFonts w:ascii="Times New Roman" w:hAnsi="Times New Roman" w:eastAsia="Times New Roman"/>
                <w:b/>
                <w:color w:val="FFFFFF"/>
                <w:sz w:val="20"/>
              </w:rPr>
              <w:t>Evidence (tickets / categorized)</w:t>
            </w:r>
          </w:p>
        </w:tc>
      </w:tr>
      <w:tr>
        <w:tc>
          <w:tcPr>
            <w:tcW w:type="dxa" w:w="3744"/>
          </w:tcPr>
          <w:p>
            <w:r/>
            <w:r>
              <w:rPr>
                <w:rFonts w:ascii="Times New Roman" w:hAnsi="Times New Roman" w:eastAsia="Times New Roman"/>
                <w:b w:val="0"/>
                <w:sz w:val="19"/>
              </w:rPr>
              <w:t>Article / sub-article selection &amp; instrument mapping</w:t>
            </w:r>
          </w:p>
        </w:tc>
        <w:tc>
          <w:tcPr>
            <w:tcW w:type="dxa" w:w="6048"/>
          </w:tcPr>
          <w:p>
            <w:r/>
            <w:r>
              <w:rPr>
                <w:rFonts w:ascii="Times New Roman" w:hAnsi="Times New Roman" w:eastAsia="Times New Roman"/>
                <w:b w:val="0"/>
                <w:sz w:val="19"/>
              </w:rPr>
              <w:t>Release Deed Article Issue (17714); Stamp Duty wrong for partition sub-article 39-b (31257); Gift Deed stamp duty double (93306)</w:t>
            </w:r>
          </w:p>
        </w:tc>
      </w:tr>
      <w:tr>
        <w:tc>
          <w:tcPr>
            <w:tcW w:type="dxa" w:w="3744"/>
          </w:tcPr>
          <w:p>
            <w:r/>
            <w:r>
              <w:rPr>
                <w:rFonts w:ascii="Times New Roman" w:hAnsi="Times New Roman" w:eastAsia="Times New Roman"/>
                <w:b w:val="0"/>
                <w:sz w:val="19"/>
              </w:rPr>
              <w:t>Village / Index / road master gaps</w:t>
            </w:r>
          </w:p>
        </w:tc>
        <w:tc>
          <w:tcPr>
            <w:tcW w:type="dxa" w:w="6048"/>
          </w:tcPr>
          <w:p>
            <w:r/>
            <w:r>
              <w:rPr>
                <w:rFonts w:ascii="Times New Roman" w:hAnsi="Times New Roman" w:eastAsia="Times New Roman"/>
                <w:b w:val="0"/>
                <w:sz w:val="19"/>
              </w:rPr>
              <w:t>Village index absent / split villages (13949); road names wrong (95135); road option not showing for agriculture land (31819); Sy. No. not fetching from Bhoomi (20170, 30045); wrong village shown (29600)</w:t>
            </w:r>
          </w:p>
        </w:tc>
      </w:tr>
      <w:tr>
        <w:tc>
          <w:tcPr>
            <w:tcW w:type="dxa" w:w="3744"/>
          </w:tcPr>
          <w:p>
            <w:r/>
            <w:r>
              <w:rPr>
                <w:rFonts w:ascii="Times New Roman" w:hAnsi="Times New Roman" w:eastAsia="Times New Roman"/>
                <w:b w:val="0"/>
                <w:sz w:val="19"/>
              </w:rPr>
              <w:t>Property schedule / boundary capture fails</w:t>
            </w:r>
          </w:p>
        </w:tc>
        <w:tc>
          <w:tcPr>
            <w:tcW w:type="dxa" w:w="6048"/>
          </w:tcPr>
          <w:p>
            <w:r/>
            <w:r>
              <w:rPr>
                <w:rFonts w:ascii="Times New Roman" w:hAnsi="Times New Roman" w:eastAsia="Times New Roman"/>
                <w:b w:val="0"/>
                <w:sz w:val="19"/>
              </w:rPr>
              <w:t>Unable to save the property schedule (24450); Unable to Save and Continue after 11E Sketch (24247); property details not in dept summary (95367)</w:t>
            </w:r>
          </w:p>
        </w:tc>
      </w:tr>
      <w:tr>
        <w:tc>
          <w:tcPr>
            <w:tcW w:type="dxa" w:w="3744"/>
          </w:tcPr>
          <w:p>
            <w:r/>
            <w:r>
              <w:rPr>
                <w:rFonts w:ascii="Times New Roman" w:hAnsi="Times New Roman" w:eastAsia="Times New Roman"/>
                <w:b w:val="0"/>
                <w:sz w:val="19"/>
              </w:rPr>
              <w:t>Party information save / display errors</w:t>
            </w:r>
          </w:p>
        </w:tc>
        <w:tc>
          <w:tcPr>
            <w:tcW w:type="dxa" w:w="6048"/>
          </w:tcPr>
          <w:p>
            <w:r/>
            <w:r>
              <w:rPr>
                <w:rFonts w:ascii="Times New Roman" w:hAnsi="Times New Roman" w:eastAsia="Times New Roman"/>
                <w:b w:val="0"/>
                <w:sz w:val="19"/>
              </w:rPr>
              <w:t>Unable to save party info (30276); claimant details missing in summary (25784, 28927, 29588); executant name showing None (22789); claimant photo at executant place (27709)</w:t>
            </w:r>
          </w:p>
        </w:tc>
      </w:tr>
      <w:tr>
        <w:tc>
          <w:tcPr>
            <w:tcW w:type="dxa" w:w="3744"/>
          </w:tcPr>
          <w:p>
            <w:r/>
            <w:r>
              <w:rPr>
                <w:rFonts w:ascii="Times New Roman" w:hAnsi="Times New Roman" w:eastAsia="Times New Roman"/>
                <w:b w:val="0"/>
                <w:sz w:val="19"/>
              </w:rPr>
              <w:t>Property valuation / fee after valuation</w:t>
            </w:r>
          </w:p>
        </w:tc>
        <w:tc>
          <w:tcPr>
            <w:tcW w:type="dxa" w:w="6048"/>
          </w:tcPr>
          <w:p>
            <w:r/>
            <w:r>
              <w:rPr>
                <w:rFonts w:ascii="Times New Roman" w:hAnsi="Times New Roman" w:eastAsia="Times New Roman"/>
                <w:b w:val="0"/>
                <w:sz w:val="19"/>
              </w:rPr>
              <w:t>Market valuation blank / not showing (29357, 29532, 27923); valuate → fee zero &amp; Save disabled (28596); fee zero in summary (26292)</w:t>
            </w:r>
          </w:p>
        </w:tc>
      </w:tr>
      <w:tr>
        <w:tc>
          <w:tcPr>
            <w:tcW w:type="dxa" w:w="3744"/>
          </w:tcPr>
          <w:p>
            <w:r/>
            <w:r>
              <w:rPr>
                <w:rFonts w:ascii="Times New Roman" w:hAnsi="Times New Roman" w:eastAsia="Times New Roman"/>
                <w:b w:val="0"/>
                <w:sz w:val="19"/>
              </w:rPr>
              <w:t>Pre-submission summary / review broken</w:t>
            </w:r>
          </w:p>
        </w:tc>
        <w:tc>
          <w:tcPr>
            <w:tcW w:type="dxa" w:w="6048"/>
          </w:tcPr>
          <w:p>
            <w:r/>
            <w:r>
              <w:rPr>
                <w:rFonts w:ascii="Times New Roman" w:hAnsi="Times New Roman" w:eastAsia="Times New Roman"/>
                <w:b w:val="0"/>
                <w:sz w:val="19"/>
              </w:rPr>
              <w:t>Unable to generate / view document summary (27360, 27805, 30609, 12009); consideration / market value wrong in summary (6187, 10531); sub-article name not in dept summary (92782); challan not in summary (31168, 29793)</w:t>
            </w:r>
          </w:p>
        </w:tc>
      </w:tr>
      <w:tr>
        <w:tc>
          <w:tcPr>
            <w:tcW w:type="dxa" w:w="3744"/>
          </w:tcPr>
          <w:p>
            <w:r/>
            <w:r>
              <w:rPr>
                <w:rFonts w:ascii="Times New Roman" w:hAnsi="Times New Roman" w:eastAsia="Times New Roman"/>
                <w:b w:val="0"/>
                <w:sz w:val="19"/>
              </w:rPr>
              <w:t>Appointment / schedule after intake</w:t>
            </w:r>
          </w:p>
        </w:tc>
        <w:tc>
          <w:tcPr>
            <w:tcW w:type="dxa" w:w="6048"/>
          </w:tcPr>
          <w:p>
            <w:r/>
            <w:r>
              <w:rPr>
                <w:rFonts w:ascii="Times New Roman" w:hAnsi="Times New Roman" w:eastAsia="Times New Roman"/>
                <w:b w:val="0"/>
                <w:sz w:val="19"/>
              </w:rPr>
              <w:t>Unable to Schedule for Appointment (27283, 30478, 30908); schedule not reflecting (28240); schedule option missing after payment (Categorized: 27283, 30478, 28812, 30908)</w:t>
            </w:r>
          </w:p>
        </w:tc>
      </w:tr>
      <w:tr>
        <w:tc>
          <w:tcPr>
            <w:tcW w:type="dxa" w:w="3744"/>
          </w:tcPr>
          <w:p>
            <w:r/>
            <w:r>
              <w:rPr>
                <w:rFonts w:ascii="Times New Roman" w:hAnsi="Times New Roman" w:eastAsia="Times New Roman"/>
                <w:b w:val="0"/>
                <w:sz w:val="19"/>
              </w:rPr>
              <w:t>Status / step stuck after registration flow</w:t>
            </w:r>
          </w:p>
        </w:tc>
        <w:tc>
          <w:tcPr>
            <w:tcW w:type="dxa" w:w="6048"/>
          </w:tcPr>
          <w:p>
            <w:r/>
            <w:r>
              <w:rPr>
                <w:rFonts w:ascii="Times New Roman" w:hAnsi="Times New Roman" w:eastAsia="Times New Roman"/>
                <w:b w:val="0"/>
                <w:sz w:val="19"/>
              </w:rPr>
              <w:t>Check and Register (Step 7) disabled (94299, 94264, 92559); applications stuck in Step 5 (23243, 25183); pending shows in Step 1 instead of Minute Book (22599, 31762)</w:t>
            </w:r>
          </w:p>
        </w:tc>
      </w:tr>
    </w:tbl>
    <w:p/>
    <w:p>
      <w:pPr>
        <w:spacing w:after="120" w:before="280"/>
      </w:pPr>
      <w:r>
        <w:rPr>
          <w:rFonts w:ascii="Segoe UI" w:hAnsi="Segoe UI" w:eastAsia="Segoe UI"/>
          <w:b/>
          <w:color w:val="2E75B6"/>
          <w:sz w:val="28"/>
        </w:rPr>
        <w:t>2.6 User stories</w:t>
      </w:r>
    </w:p>
    <w:p>
      <w:pPr>
        <w:spacing w:after="160" w:before="0"/>
      </w:pPr>
      <w:r>
        <w:rPr>
          <w:rFonts w:ascii="Segoe UI" w:hAnsi="Segoe UI" w:eastAsia="Segoe UI"/>
          <w:b w:val="0"/>
          <w:sz w:val="20"/>
        </w:rPr>
        <w:t>Derived from 27-08 discussion sections and mapped Acts/Rules.</w:t>
      </w:r>
    </w:p>
    <w:p>
      <w:pPr>
        <w:spacing w:after="160" w:before="40"/>
      </w:pPr>
      <w:r>
        <w:rPr>
          <w:rFonts w:ascii="Segoe UI" w:hAnsi="Segoe UI" w:eastAsia="Segoe UI"/>
          <w:b/>
          <w:sz w:val="21"/>
        </w:rPr>
        <w:t xml:space="preserve">US-REG-01. </w:t>
      </w:r>
      <w:r>
        <w:rPr>
          <w:rFonts w:ascii="Segoe UI" w:hAnsi="Segoe UI" w:eastAsia="Segoe UI"/>
          <w:b w:val="0"/>
          <w:sz w:val="21"/>
        </w:rPr>
        <w:t>As a citizen, I want to select article / sub-article through a requirement-based interface instead of opaque dropdowns, so that I choose the correct instrument for my transaction.</w:t>
      </w:r>
    </w:p>
    <w:p>
      <w:pPr>
        <w:spacing w:after="160" w:before="40"/>
      </w:pPr>
      <w:r>
        <w:rPr>
          <w:rFonts w:ascii="Segoe UI" w:hAnsi="Segoe UI" w:eastAsia="Segoe UI"/>
          <w:b/>
          <w:sz w:val="21"/>
        </w:rPr>
        <w:t xml:space="preserve">US-REG-02. </w:t>
      </w:r>
      <w:r>
        <w:rPr>
          <w:rFonts w:ascii="Segoe UI" w:hAnsi="Segoe UI" w:eastAsia="Segoe UI"/>
          <w:b w:val="0"/>
          <w:sz w:val="21"/>
        </w:rPr>
        <w:t>As a citizen / Sub-Registrar, I want to retrieve Index-II village details via KSRSAC (and evaluate geofencing for location accuracy), so that village and location masters are accurate at intake.</w:t>
      </w:r>
    </w:p>
    <w:p>
      <w:pPr>
        <w:spacing w:after="160" w:before="40"/>
      </w:pPr>
      <w:r>
        <w:rPr>
          <w:rFonts w:ascii="Segoe UI" w:hAnsi="Segoe UI" w:eastAsia="Segoe UI"/>
          <w:b/>
          <w:sz w:val="21"/>
        </w:rPr>
        <w:t xml:space="preserve">US-REG-03. </w:t>
      </w:r>
      <w:r>
        <w:rPr>
          <w:rFonts w:ascii="Segoe UI" w:hAnsi="Segoe UI" w:eastAsia="Segoe UI"/>
          <w:b w:val="0"/>
          <w:sz w:val="21"/>
        </w:rPr>
        <w:t>As a citizen, I want to enter agricultural property boundaries without East-West / North-South text fields and see boundaries on a visual map, so that property schedule capture matches field practice.</w:t>
      </w:r>
    </w:p>
    <w:p>
      <w:pPr>
        <w:spacing w:after="160" w:before="40"/>
      </w:pPr>
      <w:r>
        <w:rPr>
          <w:rFonts w:ascii="Segoe UI" w:hAnsi="Segoe UI" w:eastAsia="Segoe UI"/>
          <w:b/>
          <w:sz w:val="21"/>
        </w:rPr>
        <w:t xml:space="preserve">US-REG-04. </w:t>
      </w:r>
      <w:r>
        <w:rPr>
          <w:rFonts w:ascii="Segoe UI" w:hAnsi="Segoe UI" w:eastAsia="Segoe UI"/>
          <w:b w:val="0"/>
          <w:sz w:val="21"/>
        </w:rPr>
        <w:t>As a citizen, I want to see party labels that change with transaction type (Seller/Purchaser, Donor/Donee, etc.), so that party roles are clear for the deed type.</w:t>
      </w:r>
    </w:p>
    <w:p>
      <w:pPr>
        <w:spacing w:after="160" w:before="40"/>
      </w:pPr>
      <w:r>
        <w:rPr>
          <w:rFonts w:ascii="Segoe UI" w:hAnsi="Segoe UI" w:eastAsia="Segoe UI"/>
          <w:b/>
          <w:sz w:val="21"/>
        </w:rPr>
        <w:t xml:space="preserve">US-REG-05. </w:t>
      </w:r>
      <w:r>
        <w:rPr>
          <w:rFonts w:ascii="Segoe UI" w:hAnsi="Segoe UI" w:eastAsia="Segoe UI"/>
          <w:b w:val="0"/>
          <w:sz w:val="21"/>
        </w:rPr>
        <w:t>As a citizen, I want to authenticate with Aadhaar OTP using service-specific SMS templates and auto-filled gender from salutation, so that party capture is faster and less error-prone.</w:t>
      </w:r>
    </w:p>
    <w:p>
      <w:pPr>
        <w:spacing w:after="160" w:before="40"/>
      </w:pPr>
      <w:r>
        <w:rPr>
          <w:rFonts w:ascii="Segoe UI" w:hAnsi="Segoe UI" w:eastAsia="Segoe UI"/>
          <w:b/>
          <w:sz w:val="21"/>
        </w:rPr>
        <w:t xml:space="preserve">US-REG-06. </w:t>
      </w:r>
      <w:r>
        <w:rPr>
          <w:rFonts w:ascii="Segoe UI" w:hAnsi="Segoe UI" w:eastAsia="Segoe UI"/>
          <w:b w:val="0"/>
          <w:sz w:val="21"/>
        </w:rPr>
        <w:t>As a citizen, I want to see schedule allocation only when the transaction type requires it, so that unnecessary appointment steps are hidden.</w:t>
      </w:r>
    </w:p>
    <w:p>
      <w:pPr>
        <w:spacing w:after="160" w:before="40"/>
      </w:pPr>
      <w:r>
        <w:rPr>
          <w:rFonts w:ascii="Segoe UI" w:hAnsi="Segoe UI" w:eastAsia="Segoe UI"/>
          <w:b/>
          <w:sz w:val="21"/>
        </w:rPr>
        <w:t xml:space="preserve">US-REG-07. </w:t>
      </w:r>
      <w:r>
        <w:rPr>
          <w:rFonts w:ascii="Segoe UI" w:hAnsi="Segoe UI" w:eastAsia="Segoe UI"/>
          <w:b w:val="0"/>
          <w:sz w:val="21"/>
        </w:rPr>
        <w:t>As a citizen, I want to complete valuation by selecting physical characteristics without seeing the base rate, so that valuation UI stays simple while duty still uses official rates.</w:t>
      </w:r>
    </w:p>
    <w:p>
      <w:pPr>
        <w:spacing w:after="160" w:before="40"/>
      </w:pPr>
      <w:r>
        <w:rPr>
          <w:rFonts w:ascii="Segoe UI" w:hAnsi="Segoe UI" w:eastAsia="Segoe UI"/>
          <w:b/>
          <w:sz w:val="21"/>
        </w:rPr>
        <w:t xml:space="preserve">US-REG-08. </w:t>
      </w:r>
      <w:r>
        <w:rPr>
          <w:rFonts w:ascii="Segoe UI" w:hAnsi="Segoe UI" w:eastAsia="Segoe UI"/>
          <w:b w:val="0"/>
          <w:sz w:val="21"/>
        </w:rPr>
        <w:t>As a citizen, I want to review a full document summary with dynamic consideration captions before submission, so that I can correct errors before verification.</w:t>
      </w:r>
    </w:p>
    <w:p>
      <w:r>
        <w:br w:type="page"/>
      </w:r>
    </w:p>
    <w:p>
      <w:pPr>
        <w:spacing w:after="120" w:before="280"/>
      </w:pPr>
      <w:r>
        <w:rPr>
          <w:rFonts w:ascii="Segoe UI" w:hAnsi="Segoe UI" w:eastAsia="Segoe UI"/>
          <w:b/>
          <w:color w:val="1F4E79"/>
          <w:sz w:val="36"/>
        </w:rPr>
        <w:t>3. 28-08-2026 — Registration Core (SR workflow, Slot, Payment, Stamp / Guidance value)</w:t>
      </w:r>
    </w:p>
    <w:tbl>
      <w:tblPr>
        <w:tblStyle w:val="TableGrid"/>
        <w:tblW w:type="auto" w:w="0"/>
        <w:tblLook w:firstColumn="1" w:firstRow="1" w:lastColumn="0" w:lastRow="0" w:noHBand="0" w:noVBand="1" w:val="04A0"/>
      </w:tblPr>
      <w:tblGrid>
        <w:gridCol w:w="5040"/>
        <w:gridCol w:w="5040"/>
      </w:tblGrid>
      <w:tr>
        <w:tc>
          <w:tcPr>
            <w:tcW w:type="dxa" w:w="2304"/>
            <w:shd w:val="clear" w:color="auto" w:fill="1F4E79"/>
          </w:tcPr>
          <w:p>
            <w:r>
              <w:rPr>
                <w:b/>
                <w:color w:val="FFFFFF"/>
              </w:rPr>
            </w:r>
            <w:r>
              <w:rPr>
                <w:rFonts w:ascii="Times New Roman" w:hAnsi="Times New Roman" w:eastAsia="Times New Roman"/>
                <w:b/>
                <w:color w:val="FFFFFF"/>
                <w:sz w:val="20"/>
              </w:rPr>
              <w:t>Field</w:t>
            </w:r>
          </w:p>
        </w:tc>
        <w:tc>
          <w:tcPr>
            <w:tcW w:type="dxa" w:w="7488"/>
            <w:shd w:val="clear" w:color="auto" w:fill="1F4E79"/>
          </w:tcPr>
          <w:p>
            <w:r>
              <w:rPr>
                <w:b/>
                <w:color w:val="FFFFFF"/>
              </w:rPr>
            </w:r>
            <w:r>
              <w:rPr>
                <w:rFonts w:ascii="Times New Roman" w:hAnsi="Times New Roman" w:eastAsia="Times New Roman"/>
                <w:b/>
                <w:color w:val="FFFFFF"/>
                <w:sz w:val="20"/>
              </w:rPr>
              <w:t>Details</w:t>
            </w:r>
          </w:p>
        </w:tc>
      </w:tr>
      <w:tr>
        <w:tc>
          <w:tcPr>
            <w:tcW w:type="dxa" w:w="2304"/>
          </w:tcPr>
          <w:p>
            <w:r/>
            <w:r>
              <w:rPr>
                <w:rFonts w:ascii="Times New Roman" w:hAnsi="Times New Roman" w:eastAsia="Times New Roman"/>
                <w:b w:val="0"/>
                <w:sz w:val="19"/>
              </w:rPr>
              <w:t>Date</w:t>
            </w:r>
          </w:p>
        </w:tc>
        <w:tc>
          <w:tcPr>
            <w:tcW w:type="dxa" w:w="7488"/>
          </w:tcPr>
          <w:p>
            <w:r/>
            <w:r>
              <w:rPr>
                <w:rFonts w:ascii="Times New Roman" w:hAnsi="Times New Roman" w:eastAsia="Times New Roman"/>
                <w:b w:val="0"/>
                <w:sz w:val="19"/>
              </w:rPr>
              <w:t>28-08-2026</w:t>
            </w:r>
          </w:p>
        </w:tc>
      </w:tr>
      <w:tr>
        <w:tc>
          <w:tcPr>
            <w:tcW w:type="dxa" w:w="2304"/>
          </w:tcPr>
          <w:p>
            <w:r/>
            <w:r>
              <w:rPr>
                <w:rFonts w:ascii="Times New Roman" w:hAnsi="Times New Roman" w:eastAsia="Times New Roman"/>
                <w:b w:val="0"/>
                <w:sz w:val="19"/>
              </w:rPr>
              <w:t>Topics</w:t>
            </w:r>
          </w:p>
        </w:tc>
        <w:tc>
          <w:tcPr>
            <w:tcW w:type="dxa" w:w="7488"/>
          </w:tcPr>
          <w:p>
            <w:r/>
            <w:r>
              <w:rPr>
                <w:rFonts w:ascii="Times New Roman" w:hAnsi="Times New Roman" w:eastAsia="Times New Roman"/>
                <w:b w:val="0"/>
                <w:sz w:val="19"/>
              </w:rPr>
              <w:t>Registration core: Registration, Appointment, Status tracking (continued) — SR workflow, slot, payment, stamp / guidance value, impound</w:t>
            </w:r>
          </w:p>
        </w:tc>
      </w:tr>
      <w:tr>
        <w:tc>
          <w:tcPr>
            <w:tcW w:type="dxa" w:w="2304"/>
          </w:tcPr>
          <w:p>
            <w:r/>
            <w:r>
              <w:rPr>
                <w:rFonts w:ascii="Times New Roman" w:hAnsi="Times New Roman" w:eastAsia="Times New Roman"/>
                <w:b w:val="0"/>
                <w:sz w:val="19"/>
              </w:rPr>
              <w:t>Attendees</w:t>
            </w:r>
          </w:p>
        </w:tc>
        <w:tc>
          <w:tcPr>
            <w:tcW w:type="dxa" w:w="7488"/>
          </w:tcPr>
          <w:p>
            <w:r/>
            <w:r>
              <w:rPr>
                <w:rFonts w:ascii="Times New Roman" w:hAnsi="Times New Roman" w:eastAsia="Times New Roman"/>
                <w:b w:val="0"/>
                <w:sz w:val="19"/>
              </w:rPr>
              <w:t>Kaveri IT Cell, AIGR Comp, Project Manager, Assistant Manager (CMS)</w:t>
            </w:r>
          </w:p>
        </w:tc>
      </w:tr>
      <w:tr>
        <w:tc>
          <w:tcPr>
            <w:tcW w:type="dxa" w:w="2304"/>
          </w:tcPr>
          <w:p>
            <w:r/>
            <w:r>
              <w:rPr>
                <w:rFonts w:ascii="Times New Roman" w:hAnsi="Times New Roman" w:eastAsia="Times New Roman"/>
                <w:b w:val="0"/>
                <w:sz w:val="19"/>
              </w:rPr>
              <w:t>Version</w:t>
            </w:r>
          </w:p>
        </w:tc>
        <w:tc>
          <w:tcPr>
            <w:tcW w:type="dxa" w:w="7488"/>
          </w:tcPr>
          <w:p>
            <w:r/>
            <w:r>
              <w:rPr>
                <w:rFonts w:ascii="Times New Roman" w:hAnsi="Times New Roman" w:eastAsia="Times New Roman"/>
                <w:b w:val="0"/>
                <w:sz w:val="19"/>
              </w:rPr>
              <w:t>1.1 (04-09-2026) — Acts, Rules, notifications and ServiceDesk pain points added</w:t>
            </w:r>
          </w:p>
        </w:tc>
      </w:tr>
      <w:tr>
        <w:tc>
          <w:tcPr>
            <w:tcW w:type="dxa" w:w="2304"/>
          </w:tcPr>
          <w:p>
            <w:r/>
            <w:r>
              <w:rPr>
                <w:rFonts w:ascii="Times New Roman" w:hAnsi="Times New Roman" w:eastAsia="Times New Roman"/>
                <w:b w:val="0"/>
                <w:sz w:val="19"/>
              </w:rPr>
              <w:t>Source</w:t>
            </w:r>
          </w:p>
        </w:tc>
        <w:tc>
          <w:tcPr>
            <w:tcW w:type="dxa" w:w="7488"/>
          </w:tcPr>
          <w:p>
            <w:r/>
            <w:r>
              <w:rPr>
                <w:rFonts w:ascii="Times New Roman" w:hAnsi="Times New Roman" w:eastAsia="Times New Roman"/>
                <w:b w:val="0"/>
                <w:sz w:val="19"/>
              </w:rPr>
              <w:t>Document_Registration_requirement_28082026_v1.1.docx</w:t>
            </w:r>
          </w:p>
        </w:tc>
      </w:tr>
    </w:tbl>
    <w:p/>
    <w:p>
      <w:pPr>
        <w:spacing w:after="120" w:before="280"/>
      </w:pPr>
      <w:r>
        <w:rPr>
          <w:rFonts w:ascii="Segoe UI" w:hAnsi="Segoe UI" w:eastAsia="Segoe UI"/>
          <w:b/>
          <w:color w:val="2E75B6"/>
          <w:sz w:val="28"/>
        </w:rPr>
        <w:t>3.1 Discussion sections</w:t>
      </w:r>
    </w:p>
    <w:p>
      <w:pPr>
        <w:spacing w:after="120" w:before="160"/>
      </w:pPr>
      <w:r>
        <w:rPr>
          <w:rFonts w:ascii="Segoe UI" w:hAnsi="Segoe UI" w:eastAsia="Segoe UI"/>
          <w:b/>
          <w:color w:val="2F5496"/>
          <w:sz w:val="25"/>
        </w:rPr>
        <w:t>1. SR Level Approval Workflow</w:t>
      </w:r>
    </w:p>
    <w:p>
      <w:pPr>
        <w:pStyle w:val="ListBullet"/>
        <w:spacing w:after="60"/>
      </w:pPr>
      <w:r>
        <w:rPr>
          <w:rFonts w:ascii="Segoe UI" w:hAnsi="Segoe UI" w:eastAsia="Segoe UI"/>
          <w:b/>
          <w:sz w:val="21"/>
        </w:rPr>
        <w:t xml:space="preserve">Action Buttons: </w:t>
      </w:r>
      <w:r>
        <w:rPr>
          <w:rFonts w:ascii="Segoe UI" w:hAnsi="Segoe UI" w:eastAsia="Segoe UI"/>
          <w:b w:val="0"/>
          <w:sz w:val="21"/>
        </w:rPr>
        <w:t>At the first level of approval from SR, provide two buttons – “Send to Applicant for Payment” and “Send Back for Correction.”</w:t>
      </w:r>
    </w:p>
    <w:p>
      <w:pPr>
        <w:pStyle w:val="ListBullet"/>
        <w:spacing w:after="60"/>
      </w:pPr>
      <w:r>
        <w:rPr>
          <w:rFonts w:ascii="Segoe UI" w:hAnsi="Segoe UI" w:eastAsia="Segoe UI"/>
          <w:b/>
          <w:sz w:val="21"/>
        </w:rPr>
        <w:t xml:space="preserve">Payment Visibility on Correction: </w:t>
      </w:r>
      <w:r>
        <w:rPr>
          <w:rFonts w:ascii="Segoe UI" w:hAnsi="Segoe UI" w:eastAsia="Segoe UI"/>
          <w:b w:val="0"/>
          <w:sz w:val="21"/>
        </w:rPr>
        <w:t>If the application is sent back for correction, the payment option should not display in the employee login.</w:t>
      </w:r>
    </w:p>
    <w:p>
      <w:pPr>
        <w:spacing w:after="120" w:before="160"/>
      </w:pPr>
      <w:r>
        <w:rPr>
          <w:rFonts w:ascii="Segoe UI" w:hAnsi="Segoe UI" w:eastAsia="Segoe UI"/>
          <w:b/>
          <w:color w:val="2F5496"/>
          <w:sz w:val="25"/>
        </w:rPr>
        <w:t>2. SRO Road Selection</w:t>
      </w:r>
    </w:p>
    <w:p>
      <w:pPr>
        <w:pStyle w:val="ListBullet"/>
        <w:spacing w:after="60"/>
      </w:pPr>
      <w:r>
        <w:rPr>
          <w:rFonts w:ascii="Segoe UI" w:hAnsi="Segoe UI" w:eastAsia="Segoe UI"/>
          <w:b/>
          <w:sz w:val="21"/>
        </w:rPr>
        <w:t xml:space="preserve">Under-Valuation &amp; Impound Workflow: </w:t>
      </w:r>
      <w:r>
        <w:rPr>
          <w:rFonts w:ascii="Segoe UI" w:hAnsi="Segoe UI" w:eastAsia="Segoe UI"/>
          <w:b w:val="0"/>
          <w:sz w:val="21"/>
        </w:rPr>
        <w:t>For roads selected by the SRO, the under-valuation and impound workflow is to be built in Version 3.0.</w:t>
      </w:r>
    </w:p>
    <w:p>
      <w:pPr>
        <w:spacing w:after="120" w:before="160"/>
      </w:pPr>
      <w:r>
        <w:rPr>
          <w:rFonts w:ascii="Segoe UI" w:hAnsi="Segoe UI" w:eastAsia="Segoe UI"/>
          <w:b/>
          <w:color w:val="2F5496"/>
          <w:sz w:val="25"/>
        </w:rPr>
        <w:t>3. Date &amp; Time Format</w:t>
      </w:r>
    </w:p>
    <w:p>
      <w:pPr>
        <w:pStyle w:val="ListBullet"/>
        <w:spacing w:after="60"/>
      </w:pPr>
      <w:r>
        <w:rPr>
          <w:rFonts w:ascii="Segoe UI" w:hAnsi="Segoe UI" w:eastAsia="Segoe UI"/>
          <w:b/>
          <w:sz w:val="21"/>
        </w:rPr>
        <w:t xml:space="preserve">Time Format Change: </w:t>
      </w:r>
      <w:r>
        <w:rPr>
          <w:rFonts w:ascii="Segoe UI" w:hAnsi="Segoe UI" w:eastAsia="Segoe UI"/>
          <w:b w:val="0"/>
          <w:sz w:val="21"/>
        </w:rPr>
        <w:t>Change the date/time format from 24-hour to 12-hour format.</w:t>
      </w:r>
    </w:p>
    <w:p>
      <w:pPr>
        <w:spacing w:after="120" w:before="160"/>
      </w:pPr>
      <w:r>
        <w:rPr>
          <w:rFonts w:ascii="Segoe UI" w:hAnsi="Segoe UI" w:eastAsia="Segoe UI"/>
          <w:b/>
          <w:color w:val="2F5496"/>
          <w:sz w:val="25"/>
        </w:rPr>
        <w:t>4. Slot Booking</w:t>
      </w:r>
    </w:p>
    <w:p>
      <w:pPr>
        <w:pStyle w:val="ListBullet"/>
        <w:spacing w:after="60"/>
      </w:pPr>
      <w:r>
        <w:rPr>
          <w:rFonts w:ascii="Segoe UI" w:hAnsi="Segoe UI" w:eastAsia="Segoe UI"/>
          <w:b/>
          <w:sz w:val="21"/>
        </w:rPr>
        <w:t xml:space="preserve">Tatkal Slot Booking: </w:t>
      </w:r>
      <w:r>
        <w:rPr>
          <w:rFonts w:ascii="Segoe UI" w:hAnsi="Segoe UI" w:eastAsia="Segoe UI"/>
          <w:b w:val="0"/>
          <w:sz w:val="21"/>
        </w:rPr>
        <w:t>Provide provision to book a tatkal slot at the required time slot.</w:t>
      </w:r>
    </w:p>
    <w:p>
      <w:pPr>
        <w:pStyle w:val="ListBullet"/>
        <w:spacing w:after="60"/>
      </w:pPr>
      <w:r>
        <w:rPr>
          <w:rFonts w:ascii="Segoe UI" w:hAnsi="Segoe UI" w:eastAsia="Segoe UI"/>
          <w:b/>
          <w:sz w:val="21"/>
        </w:rPr>
        <w:t xml:space="preserve">Percentage-Based Amount: </w:t>
      </w:r>
      <w:r>
        <w:rPr>
          <w:rFonts w:ascii="Segoe UI" w:hAnsi="Segoe UI" w:eastAsia="Segoe UI"/>
          <w:b w:val="0"/>
          <w:sz w:val="21"/>
        </w:rPr>
        <w:t>Provide provision to set the amount based on a percentage.</w:t>
      </w:r>
    </w:p>
    <w:p>
      <w:pPr>
        <w:pStyle w:val="ListBullet"/>
        <w:spacing w:after="60"/>
      </w:pPr>
      <w:r>
        <w:rPr>
          <w:rFonts w:ascii="Segoe UI" w:hAnsi="Segoe UI" w:eastAsia="Segoe UI"/>
          <w:b/>
          <w:sz w:val="21"/>
        </w:rPr>
        <w:t xml:space="preserve">Rescheduling with Fine: </w:t>
      </w:r>
      <w:r>
        <w:rPr>
          <w:rFonts w:ascii="Segoe UI" w:hAnsi="Segoe UI" w:eastAsia="Segoe UI"/>
          <w:b w:val="0"/>
          <w:sz w:val="21"/>
        </w:rPr>
        <w:t>Rescheduling a fixed slot should happen with a fine – provision to be checked and understood further.</w:t>
      </w:r>
    </w:p>
    <w:p>
      <w:pPr>
        <w:spacing w:after="120" w:before="160"/>
      </w:pPr>
      <w:r>
        <w:rPr>
          <w:rFonts w:ascii="Segoe UI" w:hAnsi="Segoe UI" w:eastAsia="Segoe UI"/>
          <w:b/>
          <w:color w:val="2F5496"/>
          <w:sz w:val="25"/>
        </w:rPr>
        <w:t>5. Payment Visibility</w:t>
      </w:r>
    </w:p>
    <w:p>
      <w:pPr>
        <w:pStyle w:val="ListBullet"/>
        <w:spacing w:after="60"/>
      </w:pPr>
      <w:r>
        <w:rPr>
          <w:rFonts w:ascii="Segoe UI" w:hAnsi="Segoe UI" w:eastAsia="Segoe UI"/>
          <w:b/>
          <w:sz w:val="21"/>
        </w:rPr>
        <w:t xml:space="preserve">Sub-Registrar Payment: </w:t>
      </w:r>
      <w:r>
        <w:rPr>
          <w:rFonts w:ascii="Segoe UI" w:hAnsi="Segoe UI" w:eastAsia="Segoe UI"/>
          <w:b w:val="0"/>
          <w:sz w:val="21"/>
        </w:rPr>
        <w:t>Payment made in front of the Sub-Registrar should be projected more prominently to the citizen.</w:t>
      </w:r>
    </w:p>
    <w:p>
      <w:pPr>
        <w:spacing w:after="120" w:before="160"/>
      </w:pPr>
      <w:r>
        <w:rPr>
          <w:rFonts w:ascii="Segoe UI" w:hAnsi="Segoe UI" w:eastAsia="Segoe UI"/>
          <w:b/>
          <w:color w:val="2F5496"/>
          <w:sz w:val="25"/>
        </w:rPr>
        <w:t>6. Withdrawal Workflow</w:t>
      </w:r>
    </w:p>
    <w:p>
      <w:pPr>
        <w:pStyle w:val="ListBullet"/>
        <w:spacing w:after="60"/>
      </w:pPr>
      <w:r>
        <w:rPr>
          <w:rFonts w:ascii="Segoe UI" w:hAnsi="Segoe UI" w:eastAsia="Segoe UI"/>
          <w:b/>
          <w:sz w:val="21"/>
        </w:rPr>
        <w:t xml:space="preserve">Simplify Withdrawal: </w:t>
      </w:r>
      <w:r>
        <w:rPr>
          <w:rFonts w:ascii="Segoe UI" w:hAnsi="Segoe UI" w:eastAsia="Segoe UI"/>
          <w:b w:val="0"/>
          <w:sz w:val="21"/>
        </w:rPr>
        <w:t>The withdrawal option from allocation application to DEO should be made simple; workflow to be prepared.</w:t>
      </w:r>
    </w:p>
    <w:p>
      <w:pPr>
        <w:spacing w:after="120" w:before="160"/>
      </w:pPr>
      <w:r>
        <w:rPr>
          <w:rFonts w:ascii="Segoe UI" w:hAnsi="Segoe UI" w:eastAsia="Segoe UI"/>
          <w:b/>
          <w:color w:val="2F5496"/>
          <w:sz w:val="25"/>
        </w:rPr>
        <w:t>7. Application Type Naming</w:t>
      </w:r>
    </w:p>
    <w:p>
      <w:pPr>
        <w:pStyle w:val="ListBullet"/>
        <w:spacing w:after="60"/>
      </w:pPr>
      <w:r>
        <w:rPr>
          <w:rFonts w:ascii="Segoe UI" w:hAnsi="Segoe UI" w:eastAsia="Segoe UI"/>
          <w:b/>
          <w:sz w:val="21"/>
        </w:rPr>
        <w:t xml:space="preserve">Renaming: </w:t>
      </w:r>
      <w:r>
        <w:rPr>
          <w:rFonts w:ascii="Segoe UI" w:hAnsi="Segoe UI" w:eastAsia="Segoe UI"/>
          <w:b w:val="0"/>
          <w:sz w:val="21"/>
        </w:rPr>
        <w:t>Application type to be renamed as “transaction type” in the DEO login.</w:t>
      </w:r>
    </w:p>
    <w:p>
      <w:pPr>
        <w:spacing w:after="120" w:before="160"/>
      </w:pPr>
      <w:r>
        <w:rPr>
          <w:rFonts w:ascii="Segoe UI" w:hAnsi="Segoe UI" w:eastAsia="Segoe UI"/>
          <w:b/>
          <w:color w:val="2F5496"/>
          <w:sz w:val="25"/>
        </w:rPr>
        <w:t>8. Application Number Display</w:t>
      </w:r>
    </w:p>
    <w:p>
      <w:pPr>
        <w:pStyle w:val="ListBullet"/>
        <w:spacing w:after="60"/>
      </w:pPr>
      <w:r>
        <w:rPr>
          <w:rFonts w:ascii="Segoe UI" w:hAnsi="Segoe UI" w:eastAsia="Segoe UI"/>
          <w:b/>
          <w:sz w:val="21"/>
        </w:rPr>
        <w:t xml:space="preserve">Consistent Display: </w:t>
      </w:r>
      <w:r>
        <w:rPr>
          <w:rFonts w:ascii="Segoe UI" w:hAnsi="Segoe UI" w:eastAsia="Segoe UI"/>
          <w:b w:val="0"/>
          <w:sz w:val="21"/>
        </w:rPr>
        <w:t>Application number to be displayed throughout the application flow.</w:t>
      </w:r>
    </w:p>
    <w:p>
      <w:pPr>
        <w:spacing w:after="120" w:before="160"/>
      </w:pPr>
      <w:r>
        <w:rPr>
          <w:rFonts w:ascii="Segoe UI" w:hAnsi="Segoe UI" w:eastAsia="Segoe UI"/>
          <w:b/>
          <w:color w:val="2F5496"/>
          <w:sz w:val="25"/>
        </w:rPr>
        <w:t>9. Calculations</w:t>
      </w:r>
    </w:p>
    <w:p>
      <w:pPr>
        <w:pStyle w:val="ListBullet"/>
        <w:spacing w:after="60"/>
      </w:pPr>
      <w:r>
        <w:rPr>
          <w:rFonts w:ascii="Segoe UI" w:hAnsi="Segoe UI" w:eastAsia="Segoe UI"/>
          <w:b/>
          <w:sz w:val="21"/>
        </w:rPr>
        <w:t xml:space="preserve">Stamp duty and registrar fee: </w:t>
      </w:r>
      <w:r>
        <w:rPr>
          <w:rFonts w:ascii="Segoe UI" w:hAnsi="Segoe UI" w:eastAsia="Segoe UI"/>
          <w:b w:val="0"/>
          <w:sz w:val="21"/>
        </w:rPr>
        <w:t>Stamp duty and registrar fee calculation — the Stamp Act has to be studied.</w:t>
      </w:r>
    </w:p>
    <w:p>
      <w:pPr>
        <w:pStyle w:val="ListBullet"/>
        <w:spacing w:after="60"/>
      </w:pPr>
      <w:r>
        <w:rPr>
          <w:rFonts w:ascii="Segoe UI" w:hAnsi="Segoe UI" w:eastAsia="Segoe UI"/>
          <w:b/>
          <w:sz w:val="21"/>
        </w:rPr>
        <w:t xml:space="preserve">Guidance value: </w:t>
      </w:r>
      <w:r>
        <w:rPr>
          <w:rFonts w:ascii="Segoe UI" w:hAnsi="Segoe UI" w:eastAsia="Segoe UI"/>
          <w:b w:val="0"/>
          <w:sz w:val="21"/>
        </w:rPr>
        <w:t>Guidance value calculation — the valuation rules as per gazette has to be studied.</w:t>
      </w:r>
    </w:p>
    <w:p>
      <w:pPr>
        <w:spacing w:after="120" w:before="160"/>
      </w:pPr>
      <w:r>
        <w:rPr>
          <w:rFonts w:ascii="Segoe UI" w:hAnsi="Segoe UI" w:eastAsia="Segoe UI"/>
          <w:b/>
          <w:color w:val="2F5496"/>
          <w:sz w:val="25"/>
        </w:rPr>
        <w:t>10. Summary</w:t>
      </w:r>
    </w:p>
    <w:p>
      <w:pPr>
        <w:pStyle w:val="ListBullet"/>
        <w:spacing w:after="60"/>
      </w:pPr>
      <w:r>
        <w:rPr>
          <w:rFonts w:ascii="Segoe UI" w:hAnsi="Segoe UI" w:eastAsia="Segoe UI"/>
          <w:b/>
          <w:sz w:val="21"/>
        </w:rPr>
        <w:t xml:space="preserve">Rework Summary: </w:t>
      </w:r>
      <w:r>
        <w:rPr>
          <w:rFonts w:ascii="Segoe UI" w:hAnsi="Segoe UI" w:eastAsia="Segoe UI"/>
          <w:b w:val="0"/>
          <w:sz w:val="21"/>
        </w:rPr>
        <w:t>Summary needs to be reworked.</w:t>
      </w:r>
    </w:p>
    <w:p>
      <w:pPr>
        <w:pStyle w:val="ListBullet"/>
        <w:spacing w:after="60"/>
      </w:pPr>
      <w:r>
        <w:rPr>
          <w:rFonts w:ascii="Segoe UI" w:hAnsi="Segoe UI" w:eastAsia="Segoe UI"/>
          <w:b/>
          <w:sz w:val="21"/>
        </w:rPr>
        <w:t xml:space="preserve">Document Number: </w:t>
      </w:r>
      <w:r>
        <w:rPr>
          <w:rFonts w:ascii="Segoe UI" w:hAnsi="Segoe UI" w:eastAsia="Segoe UI"/>
          <w:b w:val="0"/>
          <w:sz w:val="21"/>
        </w:rPr>
        <w:t>Document number to be displayed in the summary.</w:t>
      </w:r>
    </w:p>
    <w:p>
      <w:pPr>
        <w:spacing w:after="120" w:before="280"/>
      </w:pPr>
      <w:r>
        <w:rPr>
          <w:rFonts w:ascii="Segoe UI" w:hAnsi="Segoe UI" w:eastAsia="Segoe UI"/>
          <w:b/>
          <w:color w:val="2E75B6"/>
          <w:sz w:val="28"/>
        </w:rPr>
        <w:t>3.2 Primary Acts (Sections)</w:t>
      </w:r>
    </w:p>
    <w:p>
      <w:pPr>
        <w:spacing w:after="120" w:before="0"/>
      </w:pPr>
      <w:r>
        <w:rPr>
          <w:rFonts w:ascii="Segoe UI" w:hAnsi="Segoe UI" w:eastAsia="Segoe UI"/>
          <w:b w:val="0"/>
          <w:sz w:val="20"/>
        </w:rPr>
        <w:t>Same Act/section set as 27-08 (Registration Act core + Karnataka Amendment + Stamp Act + T.P. Act Sec. 54), with 28-08 emphasis on stamp duty, guidance value and impound.</w:t>
      </w:r>
    </w:p>
    <w:tbl>
      <w:tblPr>
        <w:tblStyle w:val="TableGrid"/>
        <w:tblW w:type="auto" w:w="0"/>
        <w:tblLook w:firstColumn="1" w:firstRow="1" w:lastColumn="0" w:lastRow="0" w:noHBand="0" w:noVBand="1" w:val="04A0"/>
      </w:tblPr>
      <w:tblGrid>
        <w:gridCol w:w="3360"/>
        <w:gridCol w:w="3360"/>
        <w:gridCol w:w="3360"/>
      </w:tblGrid>
      <w:tr>
        <w:tc>
          <w:tcPr>
            <w:tcW w:type="dxa" w:w="3168"/>
            <w:shd w:val="clear" w:color="auto" w:fill="1F4E79"/>
          </w:tcPr>
          <w:p>
            <w:r>
              <w:rPr>
                <w:b/>
                <w:color w:val="FFFFFF"/>
              </w:rPr>
            </w:r>
            <w:r>
              <w:rPr>
                <w:rFonts w:ascii="Times New Roman" w:hAnsi="Times New Roman" w:eastAsia="Times New Roman"/>
                <w:b/>
                <w:color w:val="FFFFFF"/>
                <w:sz w:val="20"/>
              </w:rPr>
              <w:t>Act</w:t>
            </w:r>
          </w:p>
        </w:tc>
        <w:tc>
          <w:tcPr>
            <w:tcW w:type="dxa" w:w="2592"/>
            <w:shd w:val="clear" w:color="auto" w:fill="1F4E79"/>
          </w:tcPr>
          <w:p>
            <w:r>
              <w:rPr>
                <w:b/>
                <w:color w:val="FFFFFF"/>
              </w:rPr>
            </w:r>
            <w:r>
              <w:rPr>
                <w:rFonts w:ascii="Times New Roman" w:hAnsi="Times New Roman" w:eastAsia="Times New Roman"/>
                <w:b/>
                <w:color w:val="FFFFFF"/>
                <w:sz w:val="20"/>
              </w:rPr>
              <w:t>Sections</w:t>
            </w:r>
          </w:p>
        </w:tc>
        <w:tc>
          <w:tcPr>
            <w:tcW w:type="dxa" w:w="4032"/>
            <w:shd w:val="clear" w:color="auto" w:fill="1F4E79"/>
          </w:tcPr>
          <w:p>
            <w:r>
              <w:rPr>
                <w:b/>
                <w:color w:val="FFFFFF"/>
              </w:rPr>
            </w:r>
            <w:r>
              <w:rPr>
                <w:rFonts w:ascii="Times New Roman" w:hAnsi="Times New Roman" w:eastAsia="Times New Roman"/>
                <w:b/>
                <w:color w:val="FFFFFF"/>
                <w:sz w:val="20"/>
              </w:rPr>
              <w:t>Relevance</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Secs. 17–22, 23, 25, 28–35, 51–52, 58–61, 71–77, 78</w:t>
            </w:r>
          </w:p>
        </w:tc>
        <w:tc>
          <w:tcPr>
            <w:tcW w:type="dxa" w:w="4032"/>
          </w:tcPr>
          <w:p>
            <w:r/>
            <w:r>
              <w:rPr>
                <w:rFonts w:ascii="Times New Roman" w:hAnsi="Times New Roman" w:eastAsia="Times New Roman"/>
                <w:b w:val="0"/>
                <w:sz w:val="19"/>
              </w:rPr>
              <w:t>Core Registration and Status tracking</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Secs. 5–7, 10–12, 28–31</w:t>
            </w:r>
          </w:p>
        </w:tc>
        <w:tc>
          <w:tcPr>
            <w:tcW w:type="dxa" w:w="4032"/>
          </w:tcPr>
          <w:p>
            <w:r/>
            <w:r>
              <w:rPr>
                <w:rFonts w:ascii="Times New Roman" w:hAnsi="Times New Roman" w:eastAsia="Times New Roman"/>
                <w:b w:val="0"/>
                <w:sz w:val="19"/>
              </w:rPr>
              <w:t>Appointment office selection and jurisdiction routing</w:t>
            </w:r>
          </w:p>
        </w:tc>
      </w:tr>
      <w:tr>
        <w:tc>
          <w:tcPr>
            <w:tcW w:type="dxa" w:w="3168"/>
          </w:tcPr>
          <w:p>
            <w:r/>
            <w:r>
              <w:rPr>
                <w:rFonts w:ascii="Times New Roman" w:hAnsi="Times New Roman" w:eastAsia="Times New Roman"/>
                <w:b w:val="0"/>
                <w:sz w:val="19"/>
              </w:rPr>
              <w:t>Registration (Karnataka Amendment) Act, 2023</w:t>
            </w:r>
          </w:p>
        </w:tc>
        <w:tc>
          <w:tcPr>
            <w:tcW w:type="dxa" w:w="2592"/>
          </w:tcPr>
          <w:p>
            <w:r/>
            <w:r>
              <w:rPr>
                <w:rFonts w:ascii="Times New Roman" w:hAnsi="Times New Roman" w:eastAsia="Times New Roman"/>
                <w:b w:val="0"/>
                <w:sz w:val="19"/>
              </w:rPr>
              <w:t>Secs. 22-B, 22-C, 22-D, 81-A, 81-B</w:t>
            </w:r>
          </w:p>
        </w:tc>
        <w:tc>
          <w:tcPr>
            <w:tcW w:type="dxa" w:w="4032"/>
          </w:tcPr>
          <w:p>
            <w:r/>
            <w:r>
              <w:rPr>
                <w:rFonts w:ascii="Times New Roman" w:hAnsi="Times New Roman" w:eastAsia="Times New Roman"/>
                <w:b w:val="0"/>
                <w:sz w:val="19"/>
              </w:rPr>
              <w:t>Refusal / cancellation; intake validation</w:t>
            </w:r>
          </w:p>
        </w:tc>
      </w:tr>
      <w:tr>
        <w:tc>
          <w:tcPr>
            <w:tcW w:type="dxa" w:w="3168"/>
          </w:tcPr>
          <w:p>
            <w:r/>
            <w:r>
              <w:rPr>
                <w:rFonts w:ascii="Times New Roman" w:hAnsi="Times New Roman" w:eastAsia="Times New Roman"/>
                <w:b w:val="0"/>
                <w:sz w:val="19"/>
              </w:rPr>
              <w:t>Karnataka Stamp Act, 1957</w:t>
            </w:r>
          </w:p>
        </w:tc>
        <w:tc>
          <w:tcPr>
            <w:tcW w:type="dxa" w:w="2592"/>
          </w:tcPr>
          <w:p>
            <w:r/>
            <w:r>
              <w:rPr>
                <w:rFonts w:ascii="Times New Roman" w:hAnsi="Times New Roman" w:eastAsia="Times New Roman"/>
                <w:b w:val="0"/>
                <w:sz w:val="19"/>
              </w:rPr>
              <w:t>Secs. 3, 10, 33–39, 45-A, Schedule</w:t>
            </w:r>
          </w:p>
        </w:tc>
        <w:tc>
          <w:tcPr>
            <w:tcW w:type="dxa" w:w="4032"/>
          </w:tcPr>
          <w:p>
            <w:r/>
            <w:r>
              <w:rPr>
                <w:rFonts w:ascii="Times New Roman" w:hAnsi="Times New Roman" w:eastAsia="Times New Roman"/>
                <w:b w:val="0"/>
                <w:sz w:val="19"/>
              </w:rPr>
              <w:t>Stamp duty / payment / impound / undervaluation (28-08 focus)</w:t>
            </w:r>
          </w:p>
        </w:tc>
      </w:tr>
      <w:tr>
        <w:tc>
          <w:tcPr>
            <w:tcW w:type="dxa" w:w="3168"/>
          </w:tcPr>
          <w:p>
            <w:r/>
            <w:r>
              <w:rPr>
                <w:rFonts w:ascii="Times New Roman" w:hAnsi="Times New Roman" w:eastAsia="Times New Roman"/>
                <w:b w:val="0"/>
                <w:sz w:val="19"/>
              </w:rPr>
              <w:t>Transfer of Property Act, 1882</w:t>
            </w:r>
          </w:p>
        </w:tc>
        <w:tc>
          <w:tcPr>
            <w:tcW w:type="dxa" w:w="2592"/>
          </w:tcPr>
          <w:p>
            <w:r/>
            <w:r>
              <w:rPr>
                <w:rFonts w:ascii="Times New Roman" w:hAnsi="Times New Roman" w:eastAsia="Times New Roman"/>
                <w:b w:val="0"/>
                <w:sz w:val="19"/>
              </w:rPr>
              <w:t>Sec. 54</w:t>
            </w:r>
          </w:p>
        </w:tc>
        <w:tc>
          <w:tcPr>
            <w:tcW w:type="dxa" w:w="4032"/>
          </w:tcPr>
          <w:p>
            <w:r/>
            <w:r>
              <w:rPr>
                <w:rFonts w:ascii="Times New Roman" w:hAnsi="Times New Roman" w:eastAsia="Times New Roman"/>
                <w:b w:val="0"/>
                <w:sz w:val="19"/>
              </w:rPr>
              <w:t>Conveyance / transaction-type selection</w:t>
            </w:r>
          </w:p>
        </w:tc>
      </w:tr>
    </w:tbl>
    <w:p/>
    <w:p>
      <w:pPr>
        <w:spacing w:after="120" w:before="280"/>
      </w:pPr>
      <w:r>
        <w:rPr>
          <w:rFonts w:ascii="Segoe UI" w:hAnsi="Segoe UI" w:eastAsia="Segoe UI"/>
          <w:b/>
          <w:color w:val="2E75B6"/>
          <w:sz w:val="28"/>
        </w:rPr>
        <w:t>3.3 Primary Rules</w:t>
      </w:r>
    </w:p>
    <w:p>
      <w:pPr>
        <w:spacing w:after="120" w:before="0"/>
      </w:pPr>
      <w:r>
        <w:rPr>
          <w:rFonts w:ascii="Segoe UI" w:hAnsi="Segoe UI" w:eastAsia="Segoe UI"/>
          <w:b w:val="0"/>
          <w:sz w:val="20"/>
        </w:rPr>
        <w:t>Same Registration Rules / Stamp Rules set as 27-08; e-Stamping Rules especially relevant to payment visibility discussed on 28-08.</w:t>
      </w:r>
    </w:p>
    <w:tbl>
      <w:tblPr>
        <w:tblStyle w:val="TableGrid"/>
        <w:tblW w:type="auto" w:w="0"/>
        <w:tblLook w:firstColumn="1" w:firstRow="1" w:lastColumn="0" w:lastRow="0" w:noHBand="0" w:noVBand="1" w:val="04A0"/>
      </w:tblPr>
      <w:tblGrid>
        <w:gridCol w:w="3360"/>
        <w:gridCol w:w="3360"/>
        <w:gridCol w:w="3360"/>
      </w:tblGrid>
      <w:tr>
        <w:tc>
          <w:tcPr>
            <w:tcW w:type="dxa" w:w="3744"/>
            <w:shd w:val="clear" w:color="auto" w:fill="1F4E79"/>
          </w:tcPr>
          <w:p>
            <w:r>
              <w:rPr>
                <w:b/>
                <w:color w:val="FFFFFF"/>
              </w:rPr>
            </w:r>
            <w:r>
              <w:rPr>
                <w:rFonts w:ascii="Times New Roman" w:hAnsi="Times New Roman" w:eastAsia="Times New Roman"/>
                <w:b/>
                <w:color w:val="FFFFFF"/>
                <w:sz w:val="20"/>
              </w:rPr>
              <w:t>Rule</w:t>
            </w:r>
          </w:p>
        </w:tc>
        <w:tc>
          <w:tcPr>
            <w:tcW w:type="dxa" w:w="2880"/>
            <w:shd w:val="clear" w:color="auto" w:fill="1F4E79"/>
          </w:tcPr>
          <w:p>
            <w:r>
              <w:rPr>
                <w:b/>
                <w:color w:val="FFFFFF"/>
              </w:rPr>
            </w:r>
            <w:r>
              <w:rPr>
                <w:rFonts w:ascii="Times New Roman" w:hAnsi="Times New Roman" w:eastAsia="Times New Roman"/>
                <w:b/>
                <w:color w:val="FFFFFF"/>
                <w:sz w:val="20"/>
              </w:rPr>
              <w:t>Key provisions</w:t>
            </w:r>
          </w:p>
        </w:tc>
        <w:tc>
          <w:tcPr>
            <w:tcW w:type="dxa" w:w="3168"/>
            <w:shd w:val="clear" w:color="auto" w:fill="1F4E79"/>
          </w:tcPr>
          <w:p>
            <w:r>
              <w:rPr>
                <w:b/>
                <w:color w:val="FFFFFF"/>
              </w:rPr>
            </w:r>
            <w:r>
              <w:rPr>
                <w:rFonts w:ascii="Times New Roman" w:hAnsi="Times New Roman" w:eastAsia="Times New Roman"/>
                <w:b/>
                <w:color w:val="FFFFFF"/>
                <w:sz w:val="20"/>
              </w:rPr>
              <w:t>Relevance</w:t>
            </w:r>
          </w:p>
        </w:tc>
      </w:tr>
      <w:tr>
        <w:tc>
          <w:tcPr>
            <w:tcW w:type="dxa" w:w="3744"/>
          </w:tcPr>
          <w:p>
            <w:r/>
            <w:r>
              <w:rPr>
                <w:rFonts w:ascii="Times New Roman" w:hAnsi="Times New Roman" w:eastAsia="Times New Roman"/>
                <w:b w:val="0"/>
                <w:sz w:val="19"/>
              </w:rPr>
              <w:t>KR Rules Ch. II — Rules 3, 5</w:t>
            </w:r>
          </w:p>
        </w:tc>
        <w:tc>
          <w:tcPr>
            <w:tcW w:type="dxa" w:w="2880"/>
          </w:tcPr>
          <w:p>
            <w:r/>
            <w:r>
              <w:rPr>
                <w:rFonts w:ascii="Times New Roman" w:hAnsi="Times New Roman" w:eastAsia="Times New Roman"/>
                <w:b w:val="0"/>
                <w:sz w:val="19"/>
              </w:rPr>
              <w:t>Office hours / holidays</w:t>
            </w:r>
          </w:p>
        </w:tc>
        <w:tc>
          <w:tcPr>
            <w:tcW w:type="dxa" w:w="3168"/>
          </w:tcPr>
          <w:p>
            <w:r/>
            <w:r>
              <w:rPr>
                <w:rFonts w:ascii="Times New Roman" w:hAnsi="Times New Roman" w:eastAsia="Times New Roman"/>
                <w:b w:val="0"/>
                <w:sz w:val="19"/>
              </w:rPr>
              <w:t>Slot calendar</w:t>
            </w:r>
          </w:p>
        </w:tc>
      </w:tr>
      <w:tr>
        <w:tc>
          <w:tcPr>
            <w:tcW w:type="dxa" w:w="3744"/>
          </w:tcPr>
          <w:p>
            <w:r/>
            <w:r>
              <w:rPr>
                <w:rFonts w:ascii="Times New Roman" w:hAnsi="Times New Roman" w:eastAsia="Times New Roman"/>
                <w:b w:val="0"/>
                <w:sz w:val="19"/>
              </w:rPr>
              <w:t>KR Rules Ch. VI — Rules 13–15</w:t>
            </w:r>
          </w:p>
        </w:tc>
        <w:tc>
          <w:tcPr>
            <w:tcW w:type="dxa" w:w="2880"/>
          </w:tcPr>
          <w:p>
            <w:r/>
            <w:r>
              <w:rPr>
                <w:rFonts w:ascii="Times New Roman" w:hAnsi="Times New Roman" w:eastAsia="Times New Roman"/>
                <w:b w:val="0"/>
                <w:sz w:val="19"/>
              </w:rPr>
              <w:t>Survey / territorial description</w:t>
            </w:r>
          </w:p>
        </w:tc>
        <w:tc>
          <w:tcPr>
            <w:tcW w:type="dxa" w:w="3168"/>
          </w:tcPr>
          <w:p>
            <w:r/>
            <w:r>
              <w:rPr>
                <w:rFonts w:ascii="Times New Roman" w:hAnsi="Times New Roman" w:eastAsia="Times New Roman"/>
                <w:b w:val="0"/>
                <w:sz w:val="19"/>
              </w:rPr>
              <w:t>Village Index / GIS</w:t>
            </w:r>
          </w:p>
        </w:tc>
      </w:tr>
      <w:tr>
        <w:tc>
          <w:tcPr>
            <w:tcW w:type="dxa" w:w="3744"/>
          </w:tcPr>
          <w:p>
            <w:r/>
            <w:r>
              <w:rPr>
                <w:rFonts w:ascii="Times New Roman" w:hAnsi="Times New Roman" w:eastAsia="Times New Roman"/>
                <w:b w:val="0"/>
                <w:sz w:val="19"/>
              </w:rPr>
              <w:t>KR Rules Ch. IX — Rules 37, 40–46, 51–55</w:t>
            </w:r>
          </w:p>
        </w:tc>
        <w:tc>
          <w:tcPr>
            <w:tcW w:type="dxa" w:w="2880"/>
          </w:tcPr>
          <w:p>
            <w:r/>
            <w:r>
              <w:rPr>
                <w:rFonts w:ascii="Times New Roman" w:hAnsi="Times New Roman" w:eastAsia="Times New Roman"/>
                <w:b w:val="0"/>
                <w:sz w:val="19"/>
              </w:rPr>
              <w:t>Presentation / examination / suspension</w:t>
            </w:r>
          </w:p>
        </w:tc>
        <w:tc>
          <w:tcPr>
            <w:tcW w:type="dxa" w:w="3168"/>
          </w:tcPr>
          <w:p>
            <w:r/>
            <w:r>
              <w:rPr>
                <w:rFonts w:ascii="Times New Roman" w:hAnsi="Times New Roman" w:eastAsia="Times New Roman"/>
                <w:b w:val="0"/>
                <w:sz w:val="19"/>
              </w:rPr>
              <w:t>Registration &amp; Status</w:t>
            </w:r>
          </w:p>
        </w:tc>
      </w:tr>
      <w:tr>
        <w:tc>
          <w:tcPr>
            <w:tcW w:type="dxa" w:w="3744"/>
          </w:tcPr>
          <w:p>
            <w:r/>
            <w:r>
              <w:rPr>
                <w:rFonts w:ascii="Times New Roman" w:hAnsi="Times New Roman" w:eastAsia="Times New Roman"/>
                <w:b w:val="0"/>
                <w:sz w:val="19"/>
              </w:rPr>
              <w:t>KR Rules Ch. XII / XVI — Rules 71–73, 78–79, 94, 104</w:t>
            </w:r>
          </w:p>
        </w:tc>
        <w:tc>
          <w:tcPr>
            <w:tcW w:type="dxa" w:w="2880"/>
          </w:tcPr>
          <w:p>
            <w:r/>
            <w:r>
              <w:rPr>
                <w:rFonts w:ascii="Times New Roman" w:hAnsi="Times New Roman" w:eastAsia="Times New Roman"/>
                <w:b w:val="0"/>
                <w:sz w:val="19"/>
              </w:rPr>
              <w:t>Examination / photo / Sec. 60</w:t>
            </w:r>
          </w:p>
        </w:tc>
        <w:tc>
          <w:tcPr>
            <w:tcW w:type="dxa" w:w="3168"/>
          </w:tcPr>
          <w:p>
            <w:r/>
            <w:r>
              <w:rPr>
                <w:rFonts w:ascii="Times New Roman" w:hAnsi="Times New Roman" w:eastAsia="Times New Roman"/>
                <w:b w:val="0"/>
                <w:sz w:val="19"/>
              </w:rPr>
              <w:t>Registration completion</w:t>
            </w:r>
          </w:p>
        </w:tc>
      </w:tr>
      <w:tr>
        <w:tc>
          <w:tcPr>
            <w:tcW w:type="dxa" w:w="3744"/>
          </w:tcPr>
          <w:p>
            <w:r/>
            <w:r>
              <w:rPr>
                <w:rFonts w:ascii="Times New Roman" w:hAnsi="Times New Roman" w:eastAsia="Times New Roman"/>
                <w:b w:val="0"/>
                <w:sz w:val="19"/>
              </w:rPr>
              <w:t>KR Rules Ch. XVII / XXV — Rules 110–118, 175–188</w:t>
            </w:r>
          </w:p>
        </w:tc>
        <w:tc>
          <w:tcPr>
            <w:tcW w:type="dxa" w:w="2880"/>
          </w:tcPr>
          <w:p>
            <w:r/>
            <w:r>
              <w:rPr>
                <w:rFonts w:ascii="Times New Roman" w:hAnsi="Times New Roman" w:eastAsia="Times New Roman"/>
                <w:b w:val="0"/>
                <w:sz w:val="19"/>
              </w:rPr>
              <w:t>Receipts / return / appeal</w:t>
            </w:r>
          </w:p>
        </w:tc>
        <w:tc>
          <w:tcPr>
            <w:tcW w:type="dxa" w:w="3168"/>
          </w:tcPr>
          <w:p>
            <w:r/>
            <w:r>
              <w:rPr>
                <w:rFonts w:ascii="Times New Roman" w:hAnsi="Times New Roman" w:eastAsia="Times New Roman"/>
                <w:b w:val="0"/>
                <w:sz w:val="19"/>
              </w:rPr>
              <w:t>Status termini</w:t>
            </w:r>
          </w:p>
        </w:tc>
      </w:tr>
      <w:tr>
        <w:tc>
          <w:tcPr>
            <w:tcW w:type="dxa" w:w="3744"/>
          </w:tcPr>
          <w:p>
            <w:r/>
            <w:r>
              <w:rPr>
                <w:rFonts w:ascii="Times New Roman" w:hAnsi="Times New Roman" w:eastAsia="Times New Roman"/>
                <w:b w:val="0"/>
                <w:sz w:val="19"/>
              </w:rPr>
              <w:t>Stamp Rules 1958 / e-Stamping Rules 2009</w:t>
            </w:r>
          </w:p>
        </w:tc>
        <w:tc>
          <w:tcPr>
            <w:tcW w:type="dxa" w:w="2880"/>
          </w:tcPr>
          <w:p>
            <w:r/>
            <w:r>
              <w:rPr>
                <w:rFonts w:ascii="Times New Roman" w:hAnsi="Times New Roman" w:eastAsia="Times New Roman"/>
                <w:b w:val="0"/>
                <w:sz w:val="19"/>
              </w:rPr>
              <w:t>Stamp payment procedures</w:t>
            </w:r>
          </w:p>
        </w:tc>
        <w:tc>
          <w:tcPr>
            <w:tcW w:type="dxa" w:w="3168"/>
          </w:tcPr>
          <w:p>
            <w:r/>
            <w:r>
              <w:rPr>
                <w:rFonts w:ascii="Times New Roman" w:hAnsi="Times New Roman" w:eastAsia="Times New Roman"/>
                <w:b w:val="0"/>
                <w:sz w:val="19"/>
              </w:rPr>
              <w:t>Payment visibility at SRO</w:t>
            </w:r>
          </w:p>
        </w:tc>
      </w:tr>
    </w:tbl>
    <w:p/>
    <w:p>
      <w:pPr>
        <w:spacing w:after="120" w:before="280"/>
      </w:pPr>
      <w:r>
        <w:rPr>
          <w:rFonts w:ascii="Segoe UI" w:hAnsi="Segoe UI" w:eastAsia="Segoe UI"/>
          <w:b/>
          <w:color w:val="2E75B6"/>
          <w:sz w:val="28"/>
        </w:rPr>
        <w:t>3.4 Notifications / amendments</w:t>
      </w:r>
    </w:p>
    <w:tbl>
      <w:tblPr>
        <w:tblStyle w:val="TableGrid"/>
        <w:tblW w:type="auto" w:w="0"/>
        <w:tblLook w:firstColumn="1" w:firstRow="1" w:lastColumn="0" w:lastRow="0" w:noHBand="0" w:noVBand="1" w:val="04A0"/>
      </w:tblPr>
      <w:tblGrid>
        <w:gridCol w:w="3360"/>
        <w:gridCol w:w="3360"/>
        <w:gridCol w:w="3360"/>
      </w:tblGrid>
      <w:tr>
        <w:tc>
          <w:tcPr>
            <w:tcW w:type="dxa" w:w="3456"/>
            <w:shd w:val="clear" w:color="auto" w:fill="1F4E79"/>
          </w:tcPr>
          <w:p>
            <w:r>
              <w:rPr>
                <w:b/>
                <w:color w:val="FFFFFF"/>
              </w:rPr>
            </w:r>
            <w:r>
              <w:rPr>
                <w:rFonts w:ascii="Times New Roman" w:hAnsi="Times New Roman" w:eastAsia="Times New Roman"/>
                <w:b/>
                <w:color w:val="FFFFFF"/>
                <w:sz w:val="20"/>
              </w:rPr>
              <w:t>Instrument</w:t>
            </w:r>
          </w:p>
        </w:tc>
        <w:tc>
          <w:tcPr>
            <w:tcW w:type="dxa" w:w="3168"/>
            <w:shd w:val="clear" w:color="auto" w:fill="1F4E79"/>
          </w:tcPr>
          <w:p>
            <w:r>
              <w:rPr>
                <w:b/>
                <w:color w:val="FFFFFF"/>
              </w:rPr>
            </w:r>
            <w:r>
              <w:rPr>
                <w:rFonts w:ascii="Times New Roman" w:hAnsi="Times New Roman" w:eastAsia="Times New Roman"/>
                <w:b/>
                <w:color w:val="FFFFFF"/>
                <w:sz w:val="20"/>
              </w:rPr>
              <w:t>Effect</w:t>
            </w:r>
          </w:p>
        </w:tc>
        <w:tc>
          <w:tcPr>
            <w:tcW w:type="dxa" w:w="3168"/>
            <w:shd w:val="clear" w:color="auto" w:fill="1F4E79"/>
          </w:tcPr>
          <w:p>
            <w:r>
              <w:rPr>
                <w:b/>
                <w:color w:val="FFFFFF"/>
              </w:rPr>
            </w:r>
            <w:r>
              <w:rPr>
                <w:rFonts w:ascii="Times New Roman" w:hAnsi="Times New Roman" w:eastAsia="Times New Roman"/>
                <w:b/>
                <w:color w:val="FFFFFF"/>
                <w:sz w:val="20"/>
              </w:rPr>
              <w:t>Relevance</w:t>
            </w:r>
          </w:p>
        </w:tc>
      </w:tr>
      <w:tr>
        <w:tc>
          <w:tcPr>
            <w:tcW w:type="dxa" w:w="3456"/>
          </w:tcPr>
          <w:p>
            <w:r/>
            <w:r>
              <w:rPr>
                <w:rFonts w:ascii="Times New Roman" w:hAnsi="Times New Roman" w:eastAsia="Times New Roman"/>
                <w:b w:val="0"/>
                <w:sz w:val="19"/>
              </w:rPr>
              <w:t>RGN 2/2002-03</w:t>
            </w:r>
          </w:p>
        </w:tc>
        <w:tc>
          <w:tcPr>
            <w:tcW w:type="dxa" w:w="3168"/>
          </w:tcPr>
          <w:p>
            <w:r/>
            <w:r>
              <w:rPr>
                <w:rFonts w:ascii="Times New Roman" w:hAnsi="Times New Roman" w:eastAsia="Times New Roman"/>
                <w:b w:val="0"/>
                <w:sz w:val="19"/>
              </w:rPr>
              <w:t>Document sheets; photo rules</w:t>
            </w:r>
          </w:p>
        </w:tc>
        <w:tc>
          <w:tcPr>
            <w:tcW w:type="dxa" w:w="3168"/>
          </w:tcPr>
          <w:p>
            <w:r/>
            <w:r>
              <w:rPr>
                <w:rFonts w:ascii="Times New Roman" w:hAnsi="Times New Roman" w:eastAsia="Times New Roman"/>
                <w:b w:val="0"/>
                <w:sz w:val="19"/>
              </w:rPr>
              <w:t>Presentation format</w:t>
            </w:r>
          </w:p>
        </w:tc>
      </w:tr>
      <w:tr>
        <w:tc>
          <w:tcPr>
            <w:tcW w:type="dxa" w:w="3456"/>
          </w:tcPr>
          <w:p>
            <w:r/>
            <w:r>
              <w:rPr>
                <w:rFonts w:ascii="Times New Roman" w:hAnsi="Times New Roman" w:eastAsia="Times New Roman"/>
                <w:b w:val="0"/>
                <w:sz w:val="19"/>
              </w:rPr>
              <w:t>RD 403 ESR 85 / RD/46/MNMU/2025</w:t>
            </w:r>
          </w:p>
        </w:tc>
        <w:tc>
          <w:tcPr>
            <w:tcW w:type="dxa" w:w="3168"/>
          </w:tcPr>
          <w:p>
            <w:r/>
            <w:r>
              <w:rPr>
                <w:rFonts w:ascii="Times New Roman" w:hAnsi="Times New Roman" w:eastAsia="Times New Roman"/>
                <w:b w:val="0"/>
                <w:sz w:val="19"/>
              </w:rPr>
              <w:t>Registration fee table revision w.e.f. 31 Aug 2025</w:t>
            </w:r>
          </w:p>
        </w:tc>
        <w:tc>
          <w:tcPr>
            <w:tcW w:type="dxa" w:w="3168"/>
          </w:tcPr>
          <w:p>
            <w:r/>
            <w:r>
              <w:rPr>
                <w:rFonts w:ascii="Times New Roman" w:hAnsi="Times New Roman" w:eastAsia="Times New Roman"/>
                <w:b w:val="0"/>
                <w:sz w:val="19"/>
              </w:rPr>
              <w:t>Fee calculator / payment amount</w:t>
            </w:r>
          </w:p>
        </w:tc>
      </w:tr>
      <w:tr>
        <w:tc>
          <w:tcPr>
            <w:tcW w:type="dxa" w:w="3456"/>
          </w:tcPr>
          <w:p>
            <w:r/>
            <w:r>
              <w:rPr>
                <w:rFonts w:ascii="Times New Roman" w:hAnsi="Times New Roman" w:eastAsia="Times New Roman"/>
                <w:b w:val="0"/>
                <w:sz w:val="19"/>
              </w:rPr>
              <w:t>RD 380 MUNOMU 2008</w:t>
            </w:r>
          </w:p>
        </w:tc>
        <w:tc>
          <w:tcPr>
            <w:tcW w:type="dxa" w:w="3168"/>
          </w:tcPr>
          <w:p>
            <w:r/>
            <w:r>
              <w:rPr>
                <w:rFonts w:ascii="Times New Roman" w:hAnsi="Times New Roman" w:eastAsia="Times New Roman"/>
                <w:b w:val="0"/>
                <w:sz w:val="19"/>
              </w:rPr>
              <w:t>e-Stamping Rules, 2009</w:t>
            </w:r>
          </w:p>
        </w:tc>
        <w:tc>
          <w:tcPr>
            <w:tcW w:type="dxa" w:w="3168"/>
          </w:tcPr>
          <w:p>
            <w:r/>
            <w:r>
              <w:rPr>
                <w:rFonts w:ascii="Times New Roman" w:hAnsi="Times New Roman" w:eastAsia="Times New Roman"/>
                <w:b w:val="0"/>
                <w:sz w:val="19"/>
              </w:rPr>
              <w:t>e-Stamp at SRO</w:t>
            </w:r>
          </w:p>
        </w:tc>
      </w:tr>
      <w:tr>
        <w:tc>
          <w:tcPr>
            <w:tcW w:type="dxa" w:w="3456"/>
          </w:tcPr>
          <w:p>
            <w:r/>
            <w:r>
              <w:rPr>
                <w:rFonts w:ascii="Times New Roman" w:hAnsi="Times New Roman" w:eastAsia="Times New Roman"/>
                <w:b w:val="0"/>
                <w:sz w:val="19"/>
              </w:rPr>
              <w:t>Stamp Act Sec. 45-B / Undervaluation Rules, 1977</w:t>
            </w:r>
          </w:p>
        </w:tc>
        <w:tc>
          <w:tcPr>
            <w:tcW w:type="dxa" w:w="3168"/>
          </w:tcPr>
          <w:p>
            <w:r/>
            <w:r>
              <w:rPr>
                <w:rFonts w:ascii="Times New Roman" w:hAnsi="Times New Roman" w:eastAsia="Times New Roman"/>
                <w:b w:val="0"/>
                <w:sz w:val="19"/>
              </w:rPr>
              <w:t>CVC guidelines; Sec. 45-A / Form I</w:t>
            </w:r>
          </w:p>
        </w:tc>
        <w:tc>
          <w:tcPr>
            <w:tcW w:type="dxa" w:w="3168"/>
          </w:tcPr>
          <w:p>
            <w:r/>
            <w:r>
              <w:rPr>
                <w:rFonts w:ascii="Times New Roman" w:hAnsi="Times New Roman" w:eastAsia="Times New Roman"/>
                <w:b w:val="0"/>
                <w:sz w:val="19"/>
              </w:rPr>
              <w:t>Guidance value &amp; undervaluation / impound</w:t>
            </w:r>
          </w:p>
        </w:tc>
      </w:tr>
    </w:tbl>
    <w:p/>
    <w:p>
      <w:pPr>
        <w:spacing w:after="160" w:before="0"/>
      </w:pPr>
      <w:r>
        <w:rPr>
          <w:rFonts w:ascii="Segoe UI" w:hAnsi="Segoe UI" w:eastAsia="Segoe UI"/>
          <w:b w:val="0"/>
          <w:sz w:val="20"/>
        </w:rPr>
        <w:t>Cross-reference (28-08): Detailed study of Karnataka Stamp Act Schedule and CVC / Undervaluation Rules was flagged (items 2, 9). Full legal tables for those topics are also covered under the 01-09-2026 note.</w:t>
      </w:r>
    </w:p>
    <w:p>
      <w:pPr>
        <w:spacing w:after="120" w:before="280"/>
      </w:pPr>
      <w:r>
        <w:rPr>
          <w:rFonts w:ascii="Segoe UI" w:hAnsi="Segoe UI" w:eastAsia="Segoe UI"/>
          <w:b/>
          <w:color w:val="2E75B6"/>
          <w:sz w:val="28"/>
        </w:rPr>
        <w:t>3.5 Pain points</w:t>
      </w:r>
    </w:p>
    <w:tbl>
      <w:tblPr>
        <w:tblStyle w:val="TableGrid"/>
        <w:tblW w:type="auto" w:w="0"/>
        <w:tblLook w:firstColumn="1" w:firstRow="1" w:lastColumn="0" w:lastRow="0" w:noHBand="0" w:noVBand="1" w:val="04A0"/>
      </w:tblPr>
      <w:tblGrid>
        <w:gridCol w:w="5040"/>
        <w:gridCol w:w="5040"/>
      </w:tblGrid>
      <w:tr>
        <w:tc>
          <w:tcPr>
            <w:tcW w:type="dxa" w:w="3744"/>
            <w:shd w:val="clear" w:color="auto" w:fill="1F4E79"/>
          </w:tcPr>
          <w:p>
            <w:r>
              <w:rPr>
                <w:b/>
                <w:color w:val="FFFFFF"/>
              </w:rPr>
            </w:r>
            <w:r>
              <w:rPr>
                <w:rFonts w:ascii="Times New Roman" w:hAnsi="Times New Roman" w:eastAsia="Times New Roman"/>
                <w:b/>
                <w:color w:val="FFFFFF"/>
                <w:sz w:val="20"/>
              </w:rPr>
              <w:t>Pain point</w:t>
            </w:r>
          </w:p>
        </w:tc>
        <w:tc>
          <w:tcPr>
            <w:tcW w:type="dxa" w:w="6048"/>
            <w:shd w:val="clear" w:color="auto" w:fill="1F4E79"/>
          </w:tcPr>
          <w:p>
            <w:r>
              <w:rPr>
                <w:b/>
                <w:color w:val="FFFFFF"/>
              </w:rPr>
            </w:r>
            <w:r>
              <w:rPr>
                <w:rFonts w:ascii="Times New Roman" w:hAnsi="Times New Roman" w:eastAsia="Times New Roman"/>
                <w:b/>
                <w:color w:val="FFFFFF"/>
                <w:sz w:val="20"/>
              </w:rPr>
              <w:t>Evidence (tickets / categorized)</w:t>
            </w:r>
          </w:p>
        </w:tc>
      </w:tr>
      <w:tr>
        <w:tc>
          <w:tcPr>
            <w:tcW w:type="dxa" w:w="3744"/>
          </w:tcPr>
          <w:p>
            <w:r/>
            <w:r>
              <w:rPr>
                <w:rFonts w:ascii="Times New Roman" w:hAnsi="Times New Roman" w:eastAsia="Times New Roman"/>
                <w:b w:val="0"/>
                <w:sz w:val="19"/>
              </w:rPr>
              <w:t>SR send to payment / send back for correction</w:t>
            </w:r>
          </w:p>
        </w:tc>
        <w:tc>
          <w:tcPr>
            <w:tcW w:type="dxa" w:w="6048"/>
          </w:tcPr>
          <w:p>
            <w:r/>
            <w:r>
              <w:rPr>
                <w:rFonts w:ascii="Times New Roman" w:hAnsi="Times New Roman" w:eastAsia="Times New Roman"/>
                <w:b w:val="0"/>
                <w:sz w:val="19"/>
              </w:rPr>
              <w:t>After verification unable to send to citizen for payment / rectify (94523, 92990, 92566, 88608, 83818, 31346 — pending count 6); after evaluation send does not proceed (30960, 31484); sent-back apps still ask for payment with amount 0 (88309, 27587)</w:t>
            </w:r>
          </w:p>
        </w:tc>
      </w:tr>
      <w:tr>
        <w:tc>
          <w:tcPr>
            <w:tcW w:type="dxa" w:w="3744"/>
          </w:tcPr>
          <w:p>
            <w:r/>
            <w:r>
              <w:rPr>
                <w:rFonts w:ascii="Times New Roman" w:hAnsi="Times New Roman" w:eastAsia="Times New Roman"/>
                <w:b w:val="0"/>
                <w:sz w:val="19"/>
              </w:rPr>
              <w:t>Payment visibility &amp; payment failures</w:t>
            </w:r>
          </w:p>
        </w:tc>
        <w:tc>
          <w:tcPr>
            <w:tcW w:type="dxa" w:w="6048"/>
          </w:tcPr>
          <w:p>
            <w:r/>
            <w:r>
              <w:rPr>
                <w:rFonts w:ascii="Times New Roman" w:hAnsi="Times New Roman" w:eastAsia="Times New Roman"/>
                <w:b w:val="0"/>
                <w:sz w:val="19"/>
              </w:rPr>
              <w:t>Unable to make payment (29349, 29407); payment error (94275); payment completed but still Make Payment (92384, 28335, 26151); payment details not in 10A (27824)</w:t>
            </w:r>
          </w:p>
        </w:tc>
      </w:tr>
      <w:tr>
        <w:tc>
          <w:tcPr>
            <w:tcW w:type="dxa" w:w="3744"/>
          </w:tcPr>
          <w:p>
            <w:r/>
            <w:r>
              <w:rPr>
                <w:rFonts w:ascii="Times New Roman" w:hAnsi="Times New Roman" w:eastAsia="Times New Roman"/>
                <w:b w:val="0"/>
                <w:sz w:val="19"/>
              </w:rPr>
              <w:t>Slot booking / tatkal / reschedule</w:t>
            </w:r>
          </w:p>
        </w:tc>
        <w:tc>
          <w:tcPr>
            <w:tcW w:type="dxa" w:w="6048"/>
          </w:tcPr>
          <w:p>
            <w:r/>
            <w:r>
              <w:rPr>
                <w:rFonts w:ascii="Times New Roman" w:hAnsi="Times New Roman" w:eastAsia="Times New Roman"/>
                <w:b w:val="0"/>
                <w:sz w:val="19"/>
              </w:rPr>
              <w:t>Unable to schedule (27283 P1, 30478, 30908); time slot issue (30841); unable to re-schedule (91929); after payment still pending while citizen books slot (28335)</w:t>
            </w:r>
          </w:p>
        </w:tc>
      </w:tr>
      <w:tr>
        <w:tc>
          <w:tcPr>
            <w:tcW w:type="dxa" w:w="3744"/>
          </w:tcPr>
          <w:p>
            <w:r/>
            <w:r>
              <w:rPr>
                <w:rFonts w:ascii="Times New Roman" w:hAnsi="Times New Roman" w:eastAsia="Times New Roman"/>
                <w:b w:val="0"/>
                <w:sz w:val="19"/>
              </w:rPr>
              <w:t>Withdrawal workflow</w:t>
            </w:r>
          </w:p>
        </w:tc>
        <w:tc>
          <w:tcPr>
            <w:tcW w:type="dxa" w:w="6048"/>
          </w:tcPr>
          <w:p>
            <w:r/>
            <w:r>
              <w:rPr>
                <w:rFonts w:ascii="Times New Roman" w:hAnsi="Times New Roman" w:eastAsia="Times New Roman"/>
                <w:b w:val="0"/>
                <w:sz w:val="19"/>
              </w:rPr>
              <w:t>Withdraw option not available for rejected application (93043); citizen unable to withdraw (24685, 23807); withdrawn app still pending in DEO (9494, 23080); withdraw auto-generated registration number (8691); payment withdraw issue (28630)</w:t>
            </w:r>
          </w:p>
        </w:tc>
      </w:tr>
      <w:tr>
        <w:tc>
          <w:tcPr>
            <w:tcW w:type="dxa" w:w="3744"/>
          </w:tcPr>
          <w:p>
            <w:r/>
            <w:r>
              <w:rPr>
                <w:rFonts w:ascii="Times New Roman" w:hAnsi="Times New Roman" w:eastAsia="Times New Roman"/>
                <w:b w:val="0"/>
                <w:sz w:val="19"/>
              </w:rPr>
              <w:t>Stamp duty &amp; registration fee calculation</w:t>
            </w:r>
          </w:p>
        </w:tc>
        <w:tc>
          <w:tcPr>
            <w:tcW w:type="dxa" w:w="6048"/>
          </w:tcPr>
          <w:p>
            <w:r/>
            <w:r>
              <w:rPr>
                <w:rFonts w:ascii="Times New Roman" w:hAnsi="Times New Roman" w:eastAsia="Times New Roman"/>
                <w:b w:val="0"/>
                <w:sz w:val="19"/>
              </w:rPr>
              <w:t>Unable to Calculate Stamp duty and Registration fee (23369); fees calculation category pending (74 tickets); partition / gift article wrong duty (31257, 93306, 31130); fee zero after valuation (28596, 26292)</w:t>
            </w:r>
          </w:p>
        </w:tc>
      </w:tr>
      <w:tr>
        <w:tc>
          <w:tcPr>
            <w:tcW w:type="dxa" w:w="3744"/>
          </w:tcPr>
          <w:p>
            <w:r/>
            <w:r>
              <w:rPr>
                <w:rFonts w:ascii="Times New Roman" w:hAnsi="Times New Roman" w:eastAsia="Times New Roman"/>
                <w:b w:val="0"/>
                <w:sz w:val="19"/>
              </w:rPr>
              <w:t>Guidance value / undervaluation &amp; impound</w:t>
            </w:r>
          </w:p>
        </w:tc>
        <w:tc>
          <w:tcPr>
            <w:tcW w:type="dxa" w:w="6048"/>
          </w:tcPr>
          <w:p>
            <w:r/>
            <w:r>
              <w:rPr>
                <w:rFonts w:ascii="Times New Roman" w:hAnsi="Times New Roman" w:eastAsia="Times New Roman"/>
                <w:b w:val="0"/>
                <w:sz w:val="19"/>
              </w:rPr>
              <w:t>Pending for 45-A undervaluation (93336… — count 6); unable to release 45-A pending (13204, 14582, 31209–31212); Impound related issue (30024); CVC rates not displaying (31481, 31521); rural building valued at TMC/CMC rates (29393)</w:t>
            </w:r>
          </w:p>
        </w:tc>
      </w:tr>
      <w:tr>
        <w:tc>
          <w:tcPr>
            <w:tcW w:type="dxa" w:w="3744"/>
          </w:tcPr>
          <w:p>
            <w:r/>
            <w:r>
              <w:rPr>
                <w:rFonts w:ascii="Times New Roman" w:hAnsi="Times New Roman" w:eastAsia="Times New Roman"/>
                <w:b w:val="0"/>
                <w:sz w:val="19"/>
              </w:rPr>
              <w:t>Summary / document number display</w:t>
            </w:r>
          </w:p>
        </w:tc>
        <w:tc>
          <w:tcPr>
            <w:tcW w:type="dxa" w:w="6048"/>
          </w:tcPr>
          <w:p>
            <w:r/>
            <w:r>
              <w:rPr>
                <w:rFonts w:ascii="Times New Roman" w:hAnsi="Times New Roman" w:eastAsia="Times New Roman"/>
                <w:b w:val="0"/>
                <w:sz w:val="19"/>
              </w:rPr>
              <w:t>Summary not generating (27360, 27805, 30609); document number generated but still in DEO Step-1 Generate Summary (28388); document number / challan / consideration missing or wrong in summary (31168, 6187, 10531)</w:t>
            </w:r>
          </w:p>
        </w:tc>
      </w:tr>
      <w:tr>
        <w:tc>
          <w:tcPr>
            <w:tcW w:type="dxa" w:w="3744"/>
          </w:tcPr>
          <w:p>
            <w:r/>
            <w:r>
              <w:rPr>
                <w:rFonts w:ascii="Times New Roman" w:hAnsi="Times New Roman" w:eastAsia="Times New Roman"/>
                <w:b w:val="0"/>
                <w:sz w:val="19"/>
              </w:rPr>
              <w:t>Status tracking — wrong step / DSC / acknowledgement</w:t>
            </w:r>
          </w:p>
        </w:tc>
        <w:tc>
          <w:tcPr>
            <w:tcW w:type="dxa" w:w="6048"/>
          </w:tcPr>
          <w:p>
            <w:r/>
            <w:r>
              <w:rPr>
                <w:rFonts w:ascii="Times New Roman" w:hAnsi="Times New Roman" w:eastAsia="Times New Roman"/>
                <w:b w:val="0"/>
                <w:sz w:val="19"/>
              </w:rPr>
              <w:t>Digital Sign option / SR name missing at Step 9 (95322, 27050, 95349); Unable to Print acknowledgement at Step 10 (88602); slot allocation — registration complete but still in DEO Step 3 (28586); app number / status inconsistent across logins</w:t>
            </w:r>
          </w:p>
        </w:tc>
      </w:tr>
    </w:tbl>
    <w:p/>
    <w:p>
      <w:pPr>
        <w:spacing w:after="120" w:before="280"/>
      </w:pPr>
      <w:r>
        <w:rPr>
          <w:rFonts w:ascii="Segoe UI" w:hAnsi="Segoe UI" w:eastAsia="Segoe UI"/>
          <w:b/>
          <w:color w:val="2E75B6"/>
          <w:sz w:val="28"/>
        </w:rPr>
        <w:t>3.6 User stories</w:t>
      </w:r>
    </w:p>
    <w:p>
      <w:pPr>
        <w:spacing w:after="160" w:before="0"/>
      </w:pPr>
      <w:r>
        <w:rPr>
          <w:rFonts w:ascii="Segoe UI" w:hAnsi="Segoe UI" w:eastAsia="Segoe UI"/>
          <w:b w:val="0"/>
          <w:sz w:val="20"/>
        </w:rPr>
        <w:t>Derived from 28-08 discussion sections.</w:t>
      </w:r>
    </w:p>
    <w:p>
      <w:pPr>
        <w:spacing w:after="160" w:before="40"/>
      </w:pPr>
      <w:r>
        <w:rPr>
          <w:rFonts w:ascii="Segoe UI" w:hAnsi="Segoe UI" w:eastAsia="Segoe UI"/>
          <w:b/>
          <w:sz w:val="21"/>
        </w:rPr>
        <w:t xml:space="preserve">US-SR-01. </w:t>
      </w:r>
      <w:r>
        <w:rPr>
          <w:rFonts w:ascii="Segoe UI" w:hAnsi="Segoe UI" w:eastAsia="Segoe UI"/>
          <w:b w:val="0"/>
          <w:sz w:val="21"/>
        </w:rPr>
        <w:t>As a Sub-Registrar, I want to choose “Send to Applicant for Payment” or “Send Back for Correction” at first-level approval, so that the application moves cleanly to payment or correction without ambiguity.</w:t>
      </w:r>
    </w:p>
    <w:p>
      <w:pPr>
        <w:spacing w:after="160" w:before="40"/>
      </w:pPr>
      <w:r>
        <w:rPr>
          <w:rFonts w:ascii="Segoe UI" w:hAnsi="Segoe UI" w:eastAsia="Segoe UI"/>
          <w:b/>
          <w:sz w:val="21"/>
        </w:rPr>
        <w:t xml:space="preserve">US-SR-02. </w:t>
      </w:r>
      <w:r>
        <w:rPr>
          <w:rFonts w:ascii="Segoe UI" w:hAnsi="Segoe UI" w:eastAsia="Segoe UI"/>
          <w:b w:val="0"/>
          <w:sz w:val="21"/>
        </w:rPr>
        <w:t>As a DEO / department user, I want to hide the payment option when an application is sent back for correction, so that employees are not prompted to collect payment on a correction cycle.</w:t>
      </w:r>
    </w:p>
    <w:p>
      <w:pPr>
        <w:spacing w:after="160" w:before="40"/>
      </w:pPr>
      <w:r>
        <w:rPr>
          <w:rFonts w:ascii="Segoe UI" w:hAnsi="Segoe UI" w:eastAsia="Segoe UI"/>
          <w:b/>
          <w:sz w:val="21"/>
        </w:rPr>
        <w:t xml:space="preserve">US-SLOT-01. </w:t>
      </w:r>
      <w:r>
        <w:rPr>
          <w:rFonts w:ascii="Segoe UI" w:hAnsi="Segoe UI" w:eastAsia="Segoe UI"/>
          <w:b w:val="0"/>
          <w:sz w:val="21"/>
        </w:rPr>
        <w:t>As a citizen, I want to book a tatkal slot at a required time and understand percentage-based amounts and reschedule-with-fine rules, so that urgent appointments can be secured under clear fee rules.</w:t>
      </w:r>
    </w:p>
    <w:p>
      <w:pPr>
        <w:spacing w:after="160" w:before="40"/>
      </w:pPr>
      <w:r>
        <w:rPr>
          <w:rFonts w:ascii="Segoe UI" w:hAnsi="Segoe UI" w:eastAsia="Segoe UI"/>
          <w:b/>
          <w:sz w:val="21"/>
        </w:rPr>
        <w:t xml:space="preserve">US-PAY-01. </w:t>
      </w:r>
      <w:r>
        <w:rPr>
          <w:rFonts w:ascii="Segoe UI" w:hAnsi="Segoe UI" w:eastAsia="Segoe UI"/>
          <w:b w:val="0"/>
          <w:sz w:val="21"/>
        </w:rPr>
        <w:t>As a citizen, I want to clearly see payments made in front of the Sub-Registrar, so that SRO-counter payments are visible and trusted.</w:t>
      </w:r>
    </w:p>
    <w:p>
      <w:pPr>
        <w:spacing w:after="160" w:before="40"/>
      </w:pPr>
      <w:r>
        <w:rPr>
          <w:rFonts w:ascii="Segoe UI" w:hAnsi="Segoe UI" w:eastAsia="Segoe UI"/>
          <w:b/>
          <w:sz w:val="21"/>
        </w:rPr>
        <w:t xml:space="preserve">US-WD-01. </w:t>
      </w:r>
      <w:r>
        <w:rPr>
          <w:rFonts w:ascii="Segoe UI" w:hAnsi="Segoe UI" w:eastAsia="Segoe UI"/>
          <w:b w:val="0"/>
          <w:sz w:val="21"/>
        </w:rPr>
        <w:t>As a citizen / DEO, I want to withdraw an application from allocation to DEO through a simple workflow, so that withdrawals do not leave orphan pending states.</w:t>
      </w:r>
    </w:p>
    <w:p>
      <w:pPr>
        <w:spacing w:after="160" w:before="40"/>
      </w:pPr>
      <w:r>
        <w:rPr>
          <w:rFonts w:ascii="Segoe UI" w:hAnsi="Segoe UI" w:eastAsia="Segoe UI"/>
          <w:b/>
          <w:sz w:val="21"/>
        </w:rPr>
        <w:t xml:space="preserve">US-TXN-01. </w:t>
      </w:r>
      <w:r>
        <w:rPr>
          <w:rFonts w:ascii="Segoe UI" w:hAnsi="Segoe UI" w:eastAsia="Segoe UI"/>
          <w:b w:val="0"/>
          <w:sz w:val="21"/>
        </w:rPr>
        <w:t>As a DEO, I want to see “transaction type” (renamed from application type) and the application number throughout the flow, so that naming and identifiers stay consistent.</w:t>
      </w:r>
    </w:p>
    <w:p>
      <w:pPr>
        <w:spacing w:after="160" w:before="40"/>
      </w:pPr>
      <w:r>
        <w:rPr>
          <w:rFonts w:ascii="Segoe UI" w:hAnsi="Segoe UI" w:eastAsia="Segoe UI"/>
          <w:b/>
          <w:sz w:val="21"/>
        </w:rPr>
        <w:t xml:space="preserve">US-FEE-01. </w:t>
      </w:r>
      <w:r>
        <w:rPr>
          <w:rFonts w:ascii="Segoe UI" w:hAnsi="Segoe UI" w:eastAsia="Segoe UI"/>
          <w:b w:val="0"/>
          <w:sz w:val="21"/>
        </w:rPr>
        <w:t>As a citizen / Sub-Registrar, I want to calculate stamp duty and registration fee using Stamp Act / gazette valuation rules, so that fee and duty match legal schedules.</w:t>
      </w:r>
    </w:p>
    <w:p>
      <w:pPr>
        <w:spacing w:after="160" w:before="40"/>
      </w:pPr>
      <w:r>
        <w:rPr>
          <w:rFonts w:ascii="Segoe UI" w:hAnsi="Segoe UI" w:eastAsia="Segoe UI"/>
          <w:b/>
          <w:sz w:val="21"/>
        </w:rPr>
        <w:t xml:space="preserve">US-SUM-01. </w:t>
      </w:r>
      <w:r>
        <w:rPr>
          <w:rFonts w:ascii="Segoe UI" w:hAnsi="Segoe UI" w:eastAsia="Segoe UI"/>
          <w:b w:val="0"/>
          <w:sz w:val="21"/>
        </w:rPr>
        <w:t>As a citizen / DEO, I want to view a reworked summary that includes the document number, so that summary is usable for verification and status tracking.</w:t>
      </w:r>
    </w:p>
    <w:p>
      <w:r>
        <w:br w:type="page"/>
      </w:r>
    </w:p>
    <w:p>
      <w:pPr>
        <w:spacing w:after="120" w:before="280"/>
      </w:pPr>
      <w:r>
        <w:rPr>
          <w:rFonts w:ascii="Segoe UI" w:hAnsi="Segoe UI" w:eastAsia="Segoe UI"/>
          <w:b/>
          <w:color w:val="1F4E79"/>
          <w:sz w:val="36"/>
        </w:rPr>
        <w:t>4. 01-09-2026 — Guideline Value, CVC Valuation Module &amp; GIS Valuation</w:t>
      </w:r>
    </w:p>
    <w:tbl>
      <w:tblPr>
        <w:tblStyle w:val="TableGrid"/>
        <w:tblW w:type="auto" w:w="0"/>
        <w:tblLook w:firstColumn="1" w:firstRow="1" w:lastColumn="0" w:lastRow="0" w:noHBand="0" w:noVBand="1" w:val="04A0"/>
      </w:tblPr>
      <w:tblGrid>
        <w:gridCol w:w="5040"/>
        <w:gridCol w:w="5040"/>
      </w:tblGrid>
      <w:tr>
        <w:tc>
          <w:tcPr>
            <w:tcW w:type="dxa" w:w="2304"/>
            <w:shd w:val="clear" w:color="auto" w:fill="1F4E79"/>
          </w:tcPr>
          <w:p>
            <w:r>
              <w:rPr>
                <w:b/>
                <w:color w:val="FFFFFF"/>
              </w:rPr>
            </w:r>
            <w:r>
              <w:rPr>
                <w:rFonts w:ascii="Times New Roman" w:hAnsi="Times New Roman" w:eastAsia="Times New Roman"/>
                <w:b/>
                <w:color w:val="FFFFFF"/>
                <w:sz w:val="20"/>
              </w:rPr>
              <w:t>Field</w:t>
            </w:r>
          </w:p>
        </w:tc>
        <w:tc>
          <w:tcPr>
            <w:tcW w:type="dxa" w:w="7488"/>
            <w:shd w:val="clear" w:color="auto" w:fill="1F4E79"/>
          </w:tcPr>
          <w:p>
            <w:r>
              <w:rPr>
                <w:b/>
                <w:color w:val="FFFFFF"/>
              </w:rPr>
            </w:r>
            <w:r>
              <w:rPr>
                <w:rFonts w:ascii="Times New Roman" w:hAnsi="Times New Roman" w:eastAsia="Times New Roman"/>
                <w:b/>
                <w:color w:val="FFFFFF"/>
                <w:sz w:val="20"/>
              </w:rPr>
              <w:t>Details</w:t>
            </w:r>
          </w:p>
        </w:tc>
      </w:tr>
      <w:tr>
        <w:tc>
          <w:tcPr>
            <w:tcW w:type="dxa" w:w="2304"/>
          </w:tcPr>
          <w:p>
            <w:r/>
            <w:r>
              <w:rPr>
                <w:rFonts w:ascii="Times New Roman" w:hAnsi="Times New Roman" w:eastAsia="Times New Roman"/>
                <w:b w:val="0"/>
                <w:sz w:val="19"/>
              </w:rPr>
              <w:t>Date</w:t>
            </w:r>
          </w:p>
        </w:tc>
        <w:tc>
          <w:tcPr>
            <w:tcW w:type="dxa" w:w="7488"/>
          </w:tcPr>
          <w:p>
            <w:r/>
            <w:r>
              <w:rPr>
                <w:rFonts w:ascii="Times New Roman" w:hAnsi="Times New Roman" w:eastAsia="Times New Roman"/>
                <w:b w:val="0"/>
                <w:sz w:val="19"/>
              </w:rPr>
              <w:t>01-09-2026</w:t>
            </w:r>
          </w:p>
        </w:tc>
      </w:tr>
      <w:tr>
        <w:tc>
          <w:tcPr>
            <w:tcW w:type="dxa" w:w="2304"/>
          </w:tcPr>
          <w:p>
            <w:r/>
            <w:r>
              <w:rPr>
                <w:rFonts w:ascii="Times New Roman" w:hAnsi="Times New Roman" w:eastAsia="Times New Roman"/>
                <w:b w:val="0"/>
                <w:sz w:val="19"/>
              </w:rPr>
              <w:t>Topics</w:t>
            </w:r>
          </w:p>
        </w:tc>
        <w:tc>
          <w:tcPr>
            <w:tcW w:type="dxa" w:w="7488"/>
          </w:tcPr>
          <w:p>
            <w:r/>
            <w:r>
              <w:rPr>
                <w:rFonts w:ascii="Times New Roman" w:hAnsi="Times New Roman" w:eastAsia="Times New Roman"/>
                <w:b w:val="0"/>
                <w:sz w:val="19"/>
              </w:rPr>
              <w:t>Guideline value calculation, Valuation Module (CVC) and GIS valuation</w:t>
            </w:r>
          </w:p>
        </w:tc>
      </w:tr>
      <w:tr>
        <w:tc>
          <w:tcPr>
            <w:tcW w:type="dxa" w:w="2304"/>
          </w:tcPr>
          <w:p>
            <w:r/>
            <w:r>
              <w:rPr>
                <w:rFonts w:ascii="Times New Roman" w:hAnsi="Times New Roman" w:eastAsia="Times New Roman"/>
                <w:b w:val="0"/>
                <w:sz w:val="19"/>
              </w:rPr>
              <w:t>Attendees</w:t>
            </w:r>
          </w:p>
        </w:tc>
        <w:tc>
          <w:tcPr>
            <w:tcW w:type="dxa" w:w="7488"/>
          </w:tcPr>
          <w:p>
            <w:r/>
            <w:r>
              <w:rPr>
                <w:rFonts w:ascii="Times New Roman" w:hAnsi="Times New Roman" w:eastAsia="Times New Roman"/>
                <w:b w:val="0"/>
                <w:sz w:val="19"/>
              </w:rPr>
              <w:t>Kaveri IT Cell, DIGR- Valuation</w:t>
            </w:r>
          </w:p>
        </w:tc>
      </w:tr>
      <w:tr>
        <w:tc>
          <w:tcPr>
            <w:tcW w:type="dxa" w:w="2304"/>
          </w:tcPr>
          <w:p>
            <w:r/>
            <w:r>
              <w:rPr>
                <w:rFonts w:ascii="Times New Roman" w:hAnsi="Times New Roman" w:eastAsia="Times New Roman"/>
                <w:b w:val="0"/>
                <w:sz w:val="19"/>
              </w:rPr>
              <w:t>Source</w:t>
            </w:r>
          </w:p>
        </w:tc>
        <w:tc>
          <w:tcPr>
            <w:tcW w:type="dxa" w:w="7488"/>
          </w:tcPr>
          <w:p>
            <w:r/>
            <w:r>
              <w:rPr>
                <w:rFonts w:ascii="Times New Roman" w:hAnsi="Times New Roman" w:eastAsia="Times New Roman"/>
                <w:b w:val="0"/>
                <w:sz w:val="19"/>
              </w:rPr>
              <w:t>Document_Registration_requirement_01092026_v2.docx</w:t>
            </w:r>
          </w:p>
        </w:tc>
      </w:tr>
    </w:tbl>
    <w:p/>
    <w:p>
      <w:pPr>
        <w:spacing w:after="120" w:before="280"/>
      </w:pPr>
      <w:r>
        <w:rPr>
          <w:rFonts w:ascii="Segoe UI" w:hAnsi="Segoe UI" w:eastAsia="Segoe UI"/>
          <w:b/>
          <w:color w:val="2E75B6"/>
          <w:sz w:val="28"/>
        </w:rPr>
        <w:t>4.1 Discussion sections / legal mapping</w:t>
      </w:r>
    </w:p>
    <w:p>
      <w:pPr>
        <w:spacing w:after="120" w:before="160"/>
      </w:pPr>
      <w:r>
        <w:rPr>
          <w:rFonts w:ascii="Segoe UI" w:hAnsi="Segoe UI" w:eastAsia="Segoe UI"/>
          <w:b/>
          <w:color w:val="2F5496"/>
          <w:sz w:val="25"/>
        </w:rPr>
        <w:t>1. Guideline value calculation</w:t>
      </w:r>
    </w:p>
    <w:tbl>
      <w:tblPr>
        <w:tblStyle w:val="TableGrid"/>
        <w:tblW w:type="auto" w:w="0"/>
        <w:tblLook w:firstColumn="1" w:firstRow="1" w:lastColumn="0" w:lastRow="0" w:noHBand="0" w:noVBand="1" w:val="04A0"/>
      </w:tblPr>
      <w:tblGrid>
        <w:gridCol w:w="3360"/>
        <w:gridCol w:w="3360"/>
        <w:gridCol w:w="3360"/>
      </w:tblGrid>
      <w:tr>
        <w:tc>
          <w:tcPr>
            <w:tcW w:type="dxa" w:w="1728"/>
            <w:shd w:val="clear" w:color="auto" w:fill="1F4E79"/>
          </w:tcPr>
          <w:p>
            <w:r>
              <w:rPr>
                <w:b/>
                <w:color w:val="FFFFFF"/>
              </w:rPr>
            </w:r>
            <w:r>
              <w:rPr>
                <w:rFonts w:ascii="Times New Roman" w:hAnsi="Times New Roman" w:eastAsia="Times New Roman"/>
                <w:b/>
                <w:color w:val="FFFFFF"/>
                <w:sz w:val="20"/>
              </w:rPr>
              <w:t>Type</w:t>
            </w:r>
          </w:p>
        </w:tc>
        <w:tc>
          <w:tcPr>
            <w:tcW w:type="dxa" w:w="3456"/>
            <w:shd w:val="clear" w:color="auto" w:fill="1F4E79"/>
          </w:tcPr>
          <w:p>
            <w:r>
              <w:rPr>
                <w:b/>
                <w:color w:val="FFFFFF"/>
              </w:rPr>
            </w:r>
            <w:r>
              <w:rPr>
                <w:rFonts w:ascii="Times New Roman" w:hAnsi="Times New Roman" w:eastAsia="Times New Roman"/>
                <w:b/>
                <w:color w:val="FFFFFF"/>
                <w:sz w:val="20"/>
              </w:rPr>
              <w:t>Instrument</w:t>
            </w:r>
          </w:p>
        </w:tc>
        <w:tc>
          <w:tcPr>
            <w:tcW w:type="dxa" w:w="4608"/>
            <w:shd w:val="clear" w:color="auto" w:fill="1F4E79"/>
          </w:tcPr>
          <w:p>
            <w:r>
              <w:rPr>
                <w:b/>
                <w:color w:val="FFFFFF"/>
              </w:rPr>
            </w:r>
            <w:r>
              <w:rPr>
                <w:rFonts w:ascii="Times New Roman" w:hAnsi="Times New Roman" w:eastAsia="Times New Roman"/>
                <w:b/>
                <w:color w:val="FFFFFF"/>
                <w:sz w:val="20"/>
              </w:rPr>
              <w:t>Relevance</w:t>
            </w:r>
          </w:p>
        </w:tc>
      </w:tr>
      <w:tr>
        <w:tc>
          <w:tcPr>
            <w:tcW w:type="dxa" w:w="1728"/>
          </w:tcPr>
          <w:p>
            <w:r/>
            <w:r>
              <w:rPr>
                <w:rFonts w:ascii="Times New Roman" w:hAnsi="Times New Roman" w:eastAsia="Times New Roman"/>
                <w:b w:val="0"/>
                <w:sz w:val="19"/>
              </w:rPr>
              <w:t>Act</w:t>
            </w:r>
          </w:p>
        </w:tc>
        <w:tc>
          <w:tcPr>
            <w:tcW w:type="dxa" w:w="3456"/>
          </w:tcPr>
          <w:p>
            <w:r/>
            <w:r>
              <w:rPr>
                <w:rFonts w:ascii="Times New Roman" w:hAnsi="Times New Roman" w:eastAsia="Times New Roman"/>
                <w:b w:val="0"/>
                <w:sz w:val="19"/>
              </w:rPr>
              <w:t>Karnataka Stamp Act, 1957 — Sec. 45-A</w:t>
            </w:r>
          </w:p>
        </w:tc>
        <w:tc>
          <w:tcPr>
            <w:tcW w:type="dxa" w:w="4608"/>
          </w:tcPr>
          <w:p>
            <w:r/>
            <w:r>
              <w:rPr>
                <w:rFonts w:ascii="Times New Roman" w:hAnsi="Times New Roman" w:eastAsia="Times New Roman"/>
                <w:b w:val="0"/>
                <w:sz w:val="19"/>
              </w:rPr>
              <w:t>SRO compares consideration with market value guidelines published under Sec. 45-B; if undervalued, estimates value, seeks duty, or refers to Deputy Commissioner</w:t>
            </w:r>
          </w:p>
        </w:tc>
      </w:tr>
      <w:tr>
        <w:tc>
          <w:tcPr>
            <w:tcW w:type="dxa" w:w="1728"/>
          </w:tcPr>
          <w:p>
            <w:r/>
            <w:r>
              <w:rPr>
                <w:rFonts w:ascii="Times New Roman" w:hAnsi="Times New Roman" w:eastAsia="Times New Roman"/>
                <w:b w:val="0"/>
                <w:sz w:val="19"/>
              </w:rPr>
              <w:t>Act</w:t>
            </w:r>
          </w:p>
        </w:tc>
        <w:tc>
          <w:tcPr>
            <w:tcW w:type="dxa" w:w="3456"/>
          </w:tcPr>
          <w:p>
            <w:r/>
            <w:r>
              <w:rPr>
                <w:rFonts w:ascii="Times New Roman" w:hAnsi="Times New Roman" w:eastAsia="Times New Roman"/>
                <w:b w:val="0"/>
                <w:sz w:val="19"/>
              </w:rPr>
              <w:t>Karnataka Stamp Act, 1957 — Sec. 45-B</w:t>
            </w:r>
          </w:p>
        </w:tc>
        <w:tc>
          <w:tcPr>
            <w:tcW w:type="dxa" w:w="4608"/>
          </w:tcPr>
          <w:p>
            <w:r/>
            <w:r>
              <w:rPr>
                <w:rFonts w:ascii="Times New Roman" w:hAnsi="Times New Roman" w:eastAsia="Times New Roman"/>
                <w:b w:val="0"/>
                <w:sz w:val="19"/>
              </w:rPr>
              <w:t>Authority to estimate, publish and revise market value guidelines (guideline rates used in calculation)</w:t>
            </w:r>
          </w:p>
        </w:tc>
      </w:tr>
      <w:tr>
        <w:tc>
          <w:tcPr>
            <w:tcW w:type="dxa" w:w="1728"/>
          </w:tcPr>
          <w:p>
            <w:r/>
            <w:r>
              <w:rPr>
                <w:rFonts w:ascii="Times New Roman" w:hAnsi="Times New Roman" w:eastAsia="Times New Roman"/>
                <w:b w:val="0"/>
                <w:sz w:val="19"/>
              </w:rPr>
              <w:t>Act</w:t>
            </w:r>
          </w:p>
        </w:tc>
        <w:tc>
          <w:tcPr>
            <w:tcW w:type="dxa" w:w="3456"/>
          </w:tcPr>
          <w:p>
            <w:r/>
            <w:r>
              <w:rPr>
                <w:rFonts w:ascii="Times New Roman" w:hAnsi="Times New Roman" w:eastAsia="Times New Roman"/>
                <w:b w:val="0"/>
                <w:sz w:val="19"/>
              </w:rPr>
              <w:t>Karnataka Stamp Act, 1957 — Sec. 3 + Schedule</w:t>
            </w:r>
          </w:p>
        </w:tc>
        <w:tc>
          <w:tcPr>
            <w:tcW w:type="dxa" w:w="4608"/>
          </w:tcPr>
          <w:p>
            <w:r/>
            <w:r>
              <w:rPr>
                <w:rFonts w:ascii="Times New Roman" w:hAnsi="Times New Roman" w:eastAsia="Times New Roman"/>
                <w:b w:val="0"/>
                <w:sz w:val="19"/>
              </w:rPr>
              <w:t>Stamp duty is ad valorem on market value for listed instruments (conveyance, gift, exchange, etc.)</w:t>
            </w:r>
          </w:p>
        </w:tc>
      </w:tr>
      <w:tr>
        <w:tc>
          <w:tcPr>
            <w:tcW w:type="dxa" w:w="1728"/>
          </w:tcPr>
          <w:p>
            <w:r/>
            <w:r>
              <w:rPr>
                <w:rFonts w:ascii="Times New Roman" w:hAnsi="Times New Roman" w:eastAsia="Times New Roman"/>
                <w:b w:val="0"/>
                <w:sz w:val="19"/>
              </w:rPr>
              <w:t>Rules</w:t>
            </w:r>
          </w:p>
        </w:tc>
        <w:tc>
          <w:tcPr>
            <w:tcW w:type="dxa" w:w="3456"/>
          </w:tcPr>
          <w:p>
            <w:r/>
            <w:r>
              <w:rPr>
                <w:rFonts w:ascii="Times New Roman" w:hAnsi="Times New Roman" w:eastAsia="Times New Roman"/>
                <w:b w:val="0"/>
                <w:sz w:val="19"/>
              </w:rPr>
              <w:t>Karnataka Stamp (Prevention of Undervaluation of Instruments) Rules, 1977</w:t>
            </w:r>
          </w:p>
        </w:tc>
        <w:tc>
          <w:tcPr>
            <w:tcW w:type="dxa" w:w="4608"/>
          </w:tcPr>
          <w:p>
            <w:r/>
            <w:r>
              <w:rPr>
                <w:rFonts w:ascii="Times New Roman" w:hAnsi="Times New Roman" w:eastAsia="Times New Roman"/>
                <w:b w:val="0"/>
                <w:sz w:val="19"/>
              </w:rPr>
              <w:t>Procedure + Form I (property particulars / market value)</w:t>
            </w:r>
          </w:p>
        </w:tc>
      </w:tr>
      <w:tr>
        <w:tc>
          <w:tcPr>
            <w:tcW w:type="dxa" w:w="1728"/>
          </w:tcPr>
          <w:p>
            <w:r/>
            <w:r>
              <w:rPr>
                <w:rFonts w:ascii="Times New Roman" w:hAnsi="Times New Roman" w:eastAsia="Times New Roman"/>
                <w:b w:val="0"/>
                <w:sz w:val="19"/>
              </w:rPr>
              <w:t>Supporting</w:t>
            </w:r>
          </w:p>
        </w:tc>
        <w:tc>
          <w:tcPr>
            <w:tcW w:type="dxa" w:w="3456"/>
          </w:tcPr>
          <w:p>
            <w:r/>
            <w:r>
              <w:rPr>
                <w:rFonts w:ascii="Times New Roman" w:hAnsi="Times New Roman" w:eastAsia="Times New Roman"/>
                <w:b w:val="0"/>
                <w:sz w:val="19"/>
              </w:rPr>
              <w:t>Registration Rules 13–15</w:t>
            </w:r>
          </w:p>
        </w:tc>
        <w:tc>
          <w:tcPr>
            <w:tcW w:type="dxa" w:w="4608"/>
          </w:tcPr>
          <w:p>
            <w:r/>
            <w:r>
              <w:rPr>
                <w:rFonts w:ascii="Times New Roman" w:hAnsi="Times New Roman" w:eastAsia="Times New Roman"/>
                <w:b w:val="0"/>
                <w:sz w:val="19"/>
              </w:rPr>
              <w:t>Survey / territorial description needed to pick the correct guideline rate for a property</w:t>
            </w:r>
          </w:p>
        </w:tc>
      </w:tr>
    </w:tbl>
    <w:p/>
    <w:p>
      <w:pPr>
        <w:spacing w:after="120" w:before="160"/>
      </w:pPr>
      <w:r>
        <w:rPr>
          <w:rFonts w:ascii="Segoe UI" w:hAnsi="Segoe UI" w:eastAsia="Segoe UI"/>
          <w:b/>
          <w:color w:val="2F5496"/>
          <w:sz w:val="25"/>
        </w:rPr>
        <w:t>2. Valuation Data Entry Module (CVC)</w:t>
      </w:r>
    </w:p>
    <w:tbl>
      <w:tblPr>
        <w:tblStyle w:val="TableGrid"/>
        <w:tblW w:type="auto" w:w="0"/>
        <w:tblLook w:firstColumn="1" w:firstRow="1" w:lastColumn="0" w:lastRow="0" w:noHBand="0" w:noVBand="1" w:val="04A0"/>
      </w:tblPr>
      <w:tblGrid>
        <w:gridCol w:w="3360"/>
        <w:gridCol w:w="3360"/>
        <w:gridCol w:w="3360"/>
      </w:tblGrid>
      <w:tr>
        <w:tc>
          <w:tcPr>
            <w:tcW w:type="dxa" w:w="2016"/>
            <w:shd w:val="clear" w:color="auto" w:fill="1F4E79"/>
          </w:tcPr>
          <w:p>
            <w:r>
              <w:rPr>
                <w:b/>
                <w:color w:val="FFFFFF"/>
              </w:rPr>
            </w:r>
            <w:r>
              <w:rPr>
                <w:rFonts w:ascii="Times New Roman" w:hAnsi="Times New Roman" w:eastAsia="Times New Roman"/>
                <w:b/>
                <w:color w:val="FFFFFF"/>
                <w:sz w:val="20"/>
              </w:rPr>
              <w:t>Type</w:t>
            </w:r>
          </w:p>
        </w:tc>
        <w:tc>
          <w:tcPr>
            <w:tcW w:type="dxa" w:w="3456"/>
            <w:shd w:val="clear" w:color="auto" w:fill="1F4E79"/>
          </w:tcPr>
          <w:p>
            <w:r>
              <w:rPr>
                <w:b/>
                <w:color w:val="FFFFFF"/>
              </w:rPr>
            </w:r>
            <w:r>
              <w:rPr>
                <w:rFonts w:ascii="Times New Roman" w:hAnsi="Times New Roman" w:eastAsia="Times New Roman"/>
                <w:b/>
                <w:color w:val="FFFFFF"/>
                <w:sz w:val="20"/>
              </w:rPr>
              <w:t>Instrument</w:t>
            </w:r>
          </w:p>
        </w:tc>
        <w:tc>
          <w:tcPr>
            <w:tcW w:type="dxa" w:w="4320"/>
            <w:shd w:val="clear" w:color="auto" w:fill="1F4E79"/>
          </w:tcPr>
          <w:p>
            <w:r>
              <w:rPr>
                <w:b/>
                <w:color w:val="FFFFFF"/>
              </w:rPr>
            </w:r>
            <w:r>
              <w:rPr>
                <w:rFonts w:ascii="Times New Roman" w:hAnsi="Times New Roman" w:eastAsia="Times New Roman"/>
                <w:b/>
                <w:color w:val="FFFFFF"/>
                <w:sz w:val="20"/>
              </w:rPr>
              <w:t>Relevance</w:t>
            </w:r>
          </w:p>
        </w:tc>
      </w:tr>
      <w:tr>
        <w:tc>
          <w:tcPr>
            <w:tcW w:type="dxa" w:w="2016"/>
          </w:tcPr>
          <w:p>
            <w:r/>
            <w:r>
              <w:rPr>
                <w:rFonts w:ascii="Times New Roman" w:hAnsi="Times New Roman" w:eastAsia="Times New Roman"/>
                <w:b w:val="0"/>
                <w:sz w:val="19"/>
              </w:rPr>
              <w:t>Act</w:t>
            </w:r>
          </w:p>
        </w:tc>
        <w:tc>
          <w:tcPr>
            <w:tcW w:type="dxa" w:w="3456"/>
          </w:tcPr>
          <w:p>
            <w:r/>
            <w:r>
              <w:rPr>
                <w:rFonts w:ascii="Times New Roman" w:hAnsi="Times New Roman" w:eastAsia="Times New Roman"/>
                <w:b w:val="0"/>
                <w:sz w:val="19"/>
              </w:rPr>
              <w:t>Karnataka Stamp Act, 1957 — Sec. 45-B (primary)</w:t>
            </w:r>
          </w:p>
        </w:tc>
        <w:tc>
          <w:tcPr>
            <w:tcW w:type="dxa" w:w="4320"/>
          </w:tcPr>
          <w:p>
            <w:r/>
            <w:r>
              <w:rPr>
                <w:rFonts w:ascii="Times New Roman" w:hAnsi="Times New Roman" w:eastAsia="Times New Roman"/>
                <w:b w:val="0"/>
                <w:sz w:val="19"/>
              </w:rPr>
              <w:t>CVC under IGR &amp; Commissioner of Stamps estimates, publishes, revises market value guidelines; may form district / sub-district market valuation sub-committees; final authority on policy and methodology</w:t>
            </w:r>
          </w:p>
        </w:tc>
      </w:tr>
      <w:tr>
        <w:tc>
          <w:tcPr>
            <w:tcW w:type="dxa" w:w="2016"/>
          </w:tcPr>
          <w:p>
            <w:r/>
            <w:r>
              <w:rPr>
                <w:rFonts w:ascii="Times New Roman" w:hAnsi="Times New Roman" w:eastAsia="Times New Roman"/>
                <w:b w:val="0"/>
                <w:sz w:val="19"/>
              </w:rPr>
              <w:t>Act</w:t>
            </w:r>
          </w:p>
        </w:tc>
        <w:tc>
          <w:tcPr>
            <w:tcW w:type="dxa" w:w="3456"/>
          </w:tcPr>
          <w:p>
            <w:r/>
            <w:r>
              <w:rPr>
                <w:rFonts w:ascii="Times New Roman" w:hAnsi="Times New Roman" w:eastAsia="Times New Roman"/>
                <w:b w:val="0"/>
                <w:sz w:val="19"/>
              </w:rPr>
              <w:t>Karnataka Stamp Act, 1957 — Sec. 2(ac)</w:t>
            </w:r>
          </w:p>
        </w:tc>
        <w:tc>
          <w:tcPr>
            <w:tcW w:type="dxa" w:w="4320"/>
          </w:tcPr>
          <w:p>
            <w:r/>
            <w:r>
              <w:rPr>
                <w:rFonts w:ascii="Times New Roman" w:hAnsi="Times New Roman" w:eastAsia="Times New Roman"/>
                <w:b w:val="0"/>
                <w:sz w:val="19"/>
              </w:rPr>
              <w:t>Defines “Central Valuation Committee”</w:t>
            </w:r>
          </w:p>
        </w:tc>
      </w:tr>
      <w:tr>
        <w:tc>
          <w:tcPr>
            <w:tcW w:type="dxa" w:w="2016"/>
          </w:tcPr>
          <w:p>
            <w:r/>
            <w:r>
              <w:rPr>
                <w:rFonts w:ascii="Times New Roman" w:hAnsi="Times New Roman" w:eastAsia="Times New Roman"/>
                <w:b w:val="0"/>
                <w:sz w:val="19"/>
              </w:rPr>
              <w:t>Act</w:t>
            </w:r>
          </w:p>
        </w:tc>
        <w:tc>
          <w:tcPr>
            <w:tcW w:type="dxa" w:w="3456"/>
          </w:tcPr>
          <w:p>
            <w:r/>
            <w:r>
              <w:rPr>
                <w:rFonts w:ascii="Times New Roman" w:hAnsi="Times New Roman" w:eastAsia="Times New Roman"/>
                <w:b w:val="0"/>
                <w:sz w:val="19"/>
              </w:rPr>
              <w:t>Karnataka Stamp Act, 1957 — Sec. 45-A</w:t>
            </w:r>
          </w:p>
        </w:tc>
        <w:tc>
          <w:tcPr>
            <w:tcW w:type="dxa" w:w="4320"/>
          </w:tcPr>
          <w:p>
            <w:r/>
            <w:r>
              <w:rPr>
                <w:rFonts w:ascii="Times New Roman" w:hAnsi="Times New Roman" w:eastAsia="Times New Roman"/>
                <w:b w:val="0"/>
                <w:sz w:val="19"/>
              </w:rPr>
              <w:t>Guidelines published by CVC are applied at registration for stamp duty</w:t>
            </w:r>
          </w:p>
        </w:tc>
      </w:tr>
      <w:tr>
        <w:tc>
          <w:tcPr>
            <w:tcW w:type="dxa" w:w="2016"/>
          </w:tcPr>
          <w:p>
            <w:r/>
            <w:r>
              <w:rPr>
                <w:rFonts w:ascii="Times New Roman" w:hAnsi="Times New Roman" w:eastAsia="Times New Roman"/>
                <w:b w:val="0"/>
                <w:sz w:val="19"/>
              </w:rPr>
              <w:t>Rules</w:t>
            </w:r>
          </w:p>
        </w:tc>
        <w:tc>
          <w:tcPr>
            <w:tcW w:type="dxa" w:w="3456"/>
          </w:tcPr>
          <w:p>
            <w:r/>
            <w:r>
              <w:rPr>
                <w:rFonts w:ascii="Times New Roman" w:hAnsi="Times New Roman" w:eastAsia="Times New Roman"/>
                <w:b w:val="0"/>
                <w:sz w:val="19"/>
              </w:rPr>
              <w:t>Prevention of Undervaluation Rules, 1977 (GSR 81 / RD 73 EST 74)</w:t>
            </w:r>
          </w:p>
        </w:tc>
        <w:tc>
          <w:tcPr>
            <w:tcW w:type="dxa" w:w="4320"/>
          </w:tcPr>
          <w:p>
            <w:r/>
            <w:r>
              <w:rPr>
                <w:rFonts w:ascii="Times New Roman" w:hAnsi="Times New Roman" w:eastAsia="Times New Roman"/>
                <w:b w:val="0"/>
                <w:sz w:val="19"/>
              </w:rPr>
              <w:t>Operational rules when Sec. 45-A is invoked (Form I, DC order, appeal)</w:t>
            </w:r>
          </w:p>
        </w:tc>
      </w:tr>
      <w:tr>
        <w:tc>
          <w:tcPr>
            <w:tcW w:type="dxa" w:w="2016"/>
          </w:tcPr>
          <w:p>
            <w:r/>
            <w:r>
              <w:rPr>
                <w:rFonts w:ascii="Times New Roman" w:hAnsi="Times New Roman" w:eastAsia="Times New Roman"/>
                <w:b w:val="0"/>
                <w:sz w:val="19"/>
              </w:rPr>
              <w:t>Notification / amendment</w:t>
            </w:r>
          </w:p>
        </w:tc>
        <w:tc>
          <w:tcPr>
            <w:tcW w:type="dxa" w:w="3456"/>
          </w:tcPr>
          <w:p>
            <w:r/>
            <w:r>
              <w:rPr>
                <w:rFonts w:ascii="Times New Roman" w:hAnsi="Times New Roman" w:eastAsia="Times New Roman"/>
                <w:b w:val="0"/>
                <w:sz w:val="19"/>
              </w:rPr>
              <w:t>Act 8 of 2003 (w.e.f. 1-4-2003)</w:t>
            </w:r>
          </w:p>
        </w:tc>
        <w:tc>
          <w:tcPr>
            <w:tcW w:type="dxa" w:w="4320"/>
          </w:tcPr>
          <w:p>
            <w:r/>
            <w:r>
              <w:rPr>
                <w:rFonts w:ascii="Times New Roman" w:hAnsi="Times New Roman" w:eastAsia="Times New Roman"/>
                <w:b w:val="0"/>
                <w:sz w:val="19"/>
              </w:rPr>
              <w:t>Substituted / strengthened Sec. 45-B CVC framework</w:t>
            </w:r>
          </w:p>
        </w:tc>
      </w:tr>
      <w:tr>
        <w:tc>
          <w:tcPr>
            <w:tcW w:type="dxa" w:w="2016"/>
          </w:tcPr>
          <w:p>
            <w:r/>
            <w:r>
              <w:rPr>
                <w:rFonts w:ascii="Times New Roman" w:hAnsi="Times New Roman" w:eastAsia="Times New Roman"/>
                <w:b w:val="0"/>
                <w:sz w:val="19"/>
              </w:rPr>
              <w:t>Amendment</w:t>
            </w:r>
          </w:p>
        </w:tc>
        <w:tc>
          <w:tcPr>
            <w:tcW w:type="dxa" w:w="3456"/>
          </w:tcPr>
          <w:p>
            <w:r/>
            <w:r>
              <w:rPr>
                <w:rFonts w:ascii="Times New Roman" w:hAnsi="Times New Roman" w:eastAsia="Times New Roman"/>
                <w:b w:val="0"/>
                <w:sz w:val="19"/>
              </w:rPr>
              <w:t>RD 264 MUNOMU 99 (18-8-1999)</w:t>
            </w:r>
          </w:p>
        </w:tc>
        <w:tc>
          <w:tcPr>
            <w:tcW w:type="dxa" w:w="4320"/>
          </w:tcPr>
          <w:p>
            <w:r/>
            <w:r>
              <w:rPr>
                <w:rFonts w:ascii="Times New Roman" w:hAnsi="Times New Roman" w:eastAsia="Times New Roman"/>
                <w:b w:val="0"/>
                <w:sz w:val="19"/>
              </w:rPr>
              <w:t>Amendments to Undervaluation Rules</w:t>
            </w:r>
          </w:p>
        </w:tc>
      </w:tr>
    </w:tbl>
    <w:p/>
    <w:p>
      <w:pPr>
        <w:spacing w:after="120" w:before="160"/>
      </w:pPr>
      <w:r>
        <w:rPr>
          <w:rFonts w:ascii="Segoe UI" w:hAnsi="Segoe UI" w:eastAsia="Segoe UI"/>
          <w:b/>
          <w:color w:val="2F5496"/>
          <w:sz w:val="25"/>
        </w:rPr>
        <w:t>3. GIS valuation</w:t>
      </w:r>
    </w:p>
    <w:p>
      <w:pPr>
        <w:spacing w:after="120" w:before="0"/>
      </w:pPr>
      <w:r>
        <w:rPr>
          <w:rFonts w:ascii="Segoe UI" w:hAnsi="Segoe UI" w:eastAsia="Segoe UI"/>
          <w:b w:val="0"/>
          <w:sz w:val="21"/>
        </w:rPr>
        <w:t>GIS valuation is an implementation layer on top of CVC guideline rates, to be integrated with KSRSAC (Karnataka State Remote Sensing Department).</w:t>
      </w:r>
    </w:p>
    <w:p>
      <w:pPr>
        <w:spacing w:after="120" w:before="280"/>
      </w:pPr>
      <w:r>
        <w:rPr>
          <w:rFonts w:ascii="Segoe UI" w:hAnsi="Segoe UI" w:eastAsia="Segoe UI"/>
          <w:b/>
          <w:color w:val="2E75B6"/>
          <w:sz w:val="28"/>
        </w:rPr>
        <w:t>4.2 Pain points</w:t>
      </w:r>
    </w:p>
    <w:p>
      <w:pPr>
        <w:spacing w:after="120" w:before="160"/>
      </w:pPr>
      <w:r>
        <w:rPr>
          <w:rFonts w:ascii="Segoe UI" w:hAnsi="Segoe UI" w:eastAsia="Segoe UI"/>
          <w:b/>
          <w:color w:val="2F5496"/>
          <w:sz w:val="25"/>
        </w:rPr>
        <w:t>Guideline value calculation</w:t>
      </w:r>
    </w:p>
    <w:tbl>
      <w:tblPr>
        <w:tblStyle w:val="TableGrid"/>
        <w:tblW w:type="auto" w:w="0"/>
        <w:tblLook w:firstColumn="1" w:firstRow="1" w:lastColumn="0" w:lastRow="0" w:noHBand="0" w:noVBand="1" w:val="04A0"/>
      </w:tblPr>
      <w:tblGrid>
        <w:gridCol w:w="5040"/>
        <w:gridCol w:w="5040"/>
      </w:tblGrid>
      <w:tr>
        <w:tc>
          <w:tcPr>
            <w:tcW w:type="dxa" w:w="3744"/>
            <w:shd w:val="clear" w:color="auto" w:fill="1F4E79"/>
          </w:tcPr>
          <w:p>
            <w:r>
              <w:rPr>
                <w:b/>
                <w:color w:val="FFFFFF"/>
              </w:rPr>
            </w:r>
            <w:r>
              <w:rPr>
                <w:rFonts w:ascii="Times New Roman" w:hAnsi="Times New Roman" w:eastAsia="Times New Roman"/>
                <w:b/>
                <w:color w:val="FFFFFF"/>
                <w:sz w:val="20"/>
              </w:rPr>
              <w:t>Pain point</w:t>
            </w:r>
          </w:p>
        </w:tc>
        <w:tc>
          <w:tcPr>
            <w:tcW w:type="dxa" w:w="6048"/>
            <w:shd w:val="clear" w:color="auto" w:fill="1F4E79"/>
          </w:tcPr>
          <w:p>
            <w:r>
              <w:rPr>
                <w:b/>
                <w:color w:val="FFFFFF"/>
              </w:rPr>
            </w:r>
            <w:r>
              <w:rPr>
                <w:rFonts w:ascii="Times New Roman" w:hAnsi="Times New Roman" w:eastAsia="Times New Roman"/>
                <w:b/>
                <w:color w:val="FFFFFF"/>
                <w:sz w:val="20"/>
              </w:rPr>
              <w:t>Evidence (tickets / categorized)</w:t>
            </w:r>
          </w:p>
        </w:tc>
      </w:tr>
      <w:tr>
        <w:tc>
          <w:tcPr>
            <w:tcW w:type="dxa" w:w="3744"/>
          </w:tcPr>
          <w:p>
            <w:r/>
            <w:r>
              <w:rPr>
                <w:rFonts w:ascii="Times New Roman" w:hAnsi="Times New Roman" w:eastAsia="Times New Roman"/>
                <w:b w:val="0"/>
                <w:sz w:val="19"/>
              </w:rPr>
              <w:t>Wrong / blank market (guideline) value shown</w:t>
            </w:r>
          </w:p>
        </w:tc>
        <w:tc>
          <w:tcPr>
            <w:tcW w:type="dxa" w:w="6048"/>
          </w:tcPr>
          <w:p>
            <w:r/>
            <w:r>
              <w:rPr>
                <w:rFonts w:ascii="Times New Roman" w:hAnsi="Times New Roman" w:eastAsia="Times New Roman"/>
                <w:b w:val="0"/>
                <w:sz w:val="19"/>
              </w:rPr>
              <w:t>Market value blank on sale deed (29357); valuation not showing (29532); agriculture land valuation not showing (27923); wrong market value (31438); market value wrong in EC (18690); market value not in SR login (29931)</w:t>
            </w:r>
          </w:p>
        </w:tc>
      </w:tr>
      <w:tr>
        <w:tc>
          <w:tcPr>
            <w:tcW w:type="dxa" w:w="3744"/>
          </w:tcPr>
          <w:p>
            <w:r/>
            <w:r>
              <w:rPr>
                <w:rFonts w:ascii="Times New Roman" w:hAnsi="Times New Roman" w:eastAsia="Times New Roman"/>
                <w:b w:val="0"/>
                <w:sz w:val="19"/>
              </w:rPr>
              <w:t>Wrong building rate applied for rural properties</w:t>
            </w:r>
          </w:p>
        </w:tc>
        <w:tc>
          <w:tcPr>
            <w:tcW w:type="dxa" w:w="6048"/>
          </w:tcPr>
          <w:p>
            <w:r/>
            <w:r>
              <w:rPr>
                <w:rFonts w:ascii="Times New Roman" w:hAnsi="Times New Roman" w:eastAsia="Times New Roman"/>
                <w:b w:val="0"/>
                <w:sz w:val="19"/>
              </w:rPr>
              <w:t>Rural properties calculated on TMC/CMC rates instead of rural rates (29393; Categorized: 93332)</w:t>
            </w:r>
          </w:p>
        </w:tc>
      </w:tr>
      <w:tr>
        <w:tc>
          <w:tcPr>
            <w:tcW w:type="dxa" w:w="3744"/>
          </w:tcPr>
          <w:p>
            <w:r/>
            <w:r>
              <w:rPr>
                <w:rFonts w:ascii="Times New Roman" w:hAnsi="Times New Roman" w:eastAsia="Times New Roman"/>
                <w:b w:val="0"/>
                <w:sz w:val="19"/>
              </w:rPr>
              <w:t>Unit-level valuation fails (gunta / area)</w:t>
            </w:r>
          </w:p>
        </w:tc>
        <w:tc>
          <w:tcPr>
            <w:tcW w:type="dxa" w:w="6048"/>
          </w:tcPr>
          <w:p>
            <w:r/>
            <w:r>
              <w:rPr>
                <w:rFonts w:ascii="Times New Roman" w:hAnsi="Times New Roman" w:eastAsia="Times New Roman"/>
                <w:b w:val="0"/>
                <w:sz w:val="19"/>
              </w:rPr>
              <w:t>Valuation for 1 gunta not showing (31788); gunta/cent conversion issues (24718, 26498, 6097)</w:t>
            </w:r>
          </w:p>
        </w:tc>
      </w:tr>
      <w:tr>
        <w:tc>
          <w:tcPr>
            <w:tcW w:type="dxa" w:w="3744"/>
          </w:tcPr>
          <w:p>
            <w:r/>
            <w:r>
              <w:rPr>
                <w:rFonts w:ascii="Times New Roman" w:hAnsi="Times New Roman" w:eastAsia="Times New Roman"/>
                <w:b w:val="0"/>
                <w:sz w:val="19"/>
              </w:rPr>
              <w:t>Duty / fee calculator fails after valuation</w:t>
            </w:r>
          </w:p>
        </w:tc>
        <w:tc>
          <w:tcPr>
            <w:tcW w:type="dxa" w:w="6048"/>
          </w:tcPr>
          <w:p>
            <w:r/>
            <w:r>
              <w:rPr>
                <w:rFonts w:ascii="Times New Roman" w:hAnsi="Times New Roman" w:eastAsia="Times New Roman"/>
                <w:b w:val="0"/>
                <w:sz w:val="19"/>
              </w:rPr>
              <w:t>Unable to calculate stamp duty &amp; registration fee (23369); citizen valuate → fee zero, Save disabled (28596); fee zero in summary (26292)</w:t>
            </w:r>
          </w:p>
        </w:tc>
      </w:tr>
      <w:tr>
        <w:tc>
          <w:tcPr>
            <w:tcW w:type="dxa" w:w="3744"/>
          </w:tcPr>
          <w:p>
            <w:r/>
            <w:r>
              <w:rPr>
                <w:rFonts w:ascii="Times New Roman" w:hAnsi="Times New Roman" w:eastAsia="Times New Roman"/>
                <w:b w:val="0"/>
                <w:sz w:val="19"/>
              </w:rPr>
              <w:t>Adjudicated Sec. 45-A value not respected</w:t>
            </w:r>
          </w:p>
        </w:tc>
        <w:tc>
          <w:tcPr>
            <w:tcW w:type="dxa" w:w="6048"/>
          </w:tcPr>
          <w:p>
            <w:r/>
            <w:r>
              <w:rPr>
                <w:rFonts w:ascii="Times New Roman" w:hAnsi="Times New Roman" w:eastAsia="Times New Roman"/>
                <w:b w:val="0"/>
                <w:sz w:val="19"/>
              </w:rPr>
              <w:t>Summary shows market value higher than DR-adjudicated value under 45(A) (10531); citizen sees SR value higher than undervaluation amount (31773)</w:t>
            </w:r>
          </w:p>
        </w:tc>
      </w:tr>
      <w:tr>
        <w:tc>
          <w:tcPr>
            <w:tcW w:type="dxa" w:w="3744"/>
          </w:tcPr>
          <w:p>
            <w:r/>
            <w:r>
              <w:rPr>
                <w:rFonts w:ascii="Times New Roman" w:hAnsi="Times New Roman" w:eastAsia="Times New Roman"/>
                <w:b w:val="0"/>
                <w:sz w:val="19"/>
              </w:rPr>
              <w:t>Instrument-specific gaps</w:t>
            </w:r>
          </w:p>
        </w:tc>
        <w:tc>
          <w:tcPr>
            <w:tcW w:type="dxa" w:w="6048"/>
          </w:tcPr>
          <w:p>
            <w:r/>
            <w:r>
              <w:rPr>
                <w:rFonts w:ascii="Times New Roman" w:hAnsi="Times New Roman" w:eastAsia="Times New Roman"/>
                <w:b w:val="0"/>
                <w:sz w:val="19"/>
              </w:rPr>
              <w:t>Request for market-value estimation for trust deed (31534); partition/gift fee/duty wrong on articles (31257, 93306)</w:t>
            </w:r>
          </w:p>
        </w:tc>
      </w:tr>
      <w:tr>
        <w:tc>
          <w:tcPr>
            <w:tcW w:type="dxa" w:w="3744"/>
          </w:tcPr>
          <w:p>
            <w:r/>
            <w:r>
              <w:rPr>
                <w:rFonts w:ascii="Times New Roman" w:hAnsi="Times New Roman" w:eastAsia="Times New Roman"/>
                <w:b w:val="0"/>
                <w:sz w:val="19"/>
              </w:rPr>
              <w:t>CVC rates missing in SR and Citizen login</w:t>
            </w:r>
          </w:p>
        </w:tc>
        <w:tc>
          <w:tcPr>
            <w:tcW w:type="dxa" w:w="6048"/>
          </w:tcPr>
          <w:p>
            <w:r/>
            <w:r>
              <w:rPr>
                <w:rFonts w:ascii="Times New Roman" w:hAnsi="Times New Roman" w:eastAsia="Times New Roman"/>
                <w:b w:val="0"/>
                <w:sz w:val="19"/>
              </w:rPr>
              <w:t>“In CVC module some rates are not displaying in SR Login And Citizen login” (31481 P1, 31521)</w:t>
            </w:r>
          </w:p>
        </w:tc>
      </w:tr>
      <w:tr>
        <w:tc>
          <w:tcPr>
            <w:tcW w:type="dxa" w:w="3744"/>
          </w:tcPr>
          <w:p>
            <w:r/>
            <w:r>
              <w:rPr>
                <w:rFonts w:ascii="Times New Roman" w:hAnsi="Times New Roman" w:eastAsia="Times New Roman"/>
                <w:b w:val="0"/>
                <w:sz w:val="19"/>
              </w:rPr>
              <w:t>Cannot correct CVC rates in Citizen login</w:t>
            </w:r>
          </w:p>
        </w:tc>
        <w:tc>
          <w:tcPr>
            <w:tcW w:type="dxa" w:w="6048"/>
          </w:tcPr>
          <w:p>
            <w:r/>
            <w:r>
              <w:rPr>
                <w:rFonts w:ascii="Times New Roman" w:hAnsi="Times New Roman" w:eastAsia="Times New Roman"/>
                <w:b w:val="0"/>
                <w:sz w:val="19"/>
              </w:rPr>
              <w:t>“Correction Rate in CVC Citizen login” (21795)</w:t>
            </w:r>
          </w:p>
        </w:tc>
      </w:tr>
      <w:tr>
        <w:tc>
          <w:tcPr>
            <w:tcW w:type="dxa" w:w="3744"/>
          </w:tcPr>
          <w:p>
            <w:r/>
            <w:r>
              <w:rPr>
                <w:rFonts w:ascii="Times New Roman" w:hAnsi="Times New Roman" w:eastAsia="Times New Roman"/>
                <w:b w:val="0"/>
                <w:sz w:val="19"/>
              </w:rPr>
              <w:t>Generic CVC module failures</w:t>
            </w:r>
          </w:p>
        </w:tc>
        <w:tc>
          <w:tcPr>
            <w:tcW w:type="dxa" w:w="6048"/>
          </w:tcPr>
          <w:p>
            <w:r/>
            <w:r>
              <w:rPr>
                <w:rFonts w:ascii="Times New Roman" w:hAnsi="Times New Roman" w:eastAsia="Times New Roman"/>
                <w:b w:val="0"/>
                <w:sz w:val="19"/>
              </w:rPr>
              <w:t>“CVC issue” (15278); payment issue after CVC (31574 P1)</w:t>
            </w:r>
          </w:p>
        </w:tc>
      </w:tr>
      <w:tr>
        <w:tc>
          <w:tcPr>
            <w:tcW w:type="dxa" w:w="3744"/>
          </w:tcPr>
          <w:p>
            <w:r/>
            <w:r>
              <w:rPr>
                <w:rFonts w:ascii="Times New Roman" w:hAnsi="Times New Roman" w:eastAsia="Times New Roman"/>
                <w:b w:val="0"/>
                <w:sz w:val="19"/>
              </w:rPr>
              <w:t>Revaluation / send-back workflow broken</w:t>
            </w:r>
          </w:p>
        </w:tc>
        <w:tc>
          <w:tcPr>
            <w:tcW w:type="dxa" w:w="6048"/>
          </w:tcPr>
          <w:p>
            <w:r/>
            <w:r>
              <w:rPr>
                <w:rFonts w:ascii="Times New Roman" w:hAnsi="Times New Roman" w:eastAsia="Times New Roman"/>
                <w:b w:val="0"/>
                <w:sz w:val="19"/>
              </w:rPr>
              <w:t>App moved for revaluation then stuck / need withdraw (23267); after evaluation, SR cannot send application further (30960, 31484)</w:t>
            </w:r>
          </w:p>
        </w:tc>
      </w:tr>
      <w:tr>
        <w:tc>
          <w:tcPr>
            <w:tcW w:type="dxa" w:w="3744"/>
          </w:tcPr>
          <w:p>
            <w:r/>
            <w:r>
              <w:rPr>
                <w:rFonts w:ascii="Times New Roman" w:hAnsi="Times New Roman" w:eastAsia="Times New Roman"/>
                <w:b w:val="0"/>
                <w:sz w:val="19"/>
              </w:rPr>
              <w:t>Undervaluation (Sec. 45-A) data / payment stuck</w:t>
            </w:r>
          </w:p>
        </w:tc>
        <w:tc>
          <w:tcPr>
            <w:tcW w:type="dxa" w:w="6048"/>
          </w:tcPr>
          <w:p>
            <w:r/>
            <w:r>
              <w:rPr>
                <w:rFonts w:ascii="Times New Roman" w:hAnsi="Times New Roman" w:eastAsia="Times New Roman"/>
                <w:b w:val="0"/>
                <w:sz w:val="19"/>
              </w:rPr>
              <w:t>Undervaluation data fetch failure (25098); unable to pay for undervaluation (31071); pending 45-A in Kaveri-1 (27140)</w:t>
            </w:r>
          </w:p>
        </w:tc>
      </w:tr>
    </w:tbl>
    <w:p/>
    <w:p>
      <w:pPr>
        <w:spacing w:after="120" w:before="280"/>
      </w:pPr>
      <w:r>
        <w:rPr>
          <w:rFonts w:ascii="Segoe UI" w:hAnsi="Segoe UI" w:eastAsia="Segoe UI"/>
          <w:b/>
          <w:color w:val="2E75B6"/>
          <w:sz w:val="28"/>
        </w:rPr>
        <w:t>4.3 User stories</w:t>
      </w:r>
    </w:p>
    <w:p>
      <w:pPr>
        <w:spacing w:after="160" w:before="0"/>
      </w:pPr>
      <w:r>
        <w:rPr>
          <w:rFonts w:ascii="Segoe UI" w:hAnsi="Segoe UI" w:eastAsia="Segoe UI"/>
          <w:b w:val="0"/>
          <w:sz w:val="20"/>
        </w:rPr>
        <w:t>User stories mapped to the Acts, Rules, notifications and GIS notes listed in the 01-09-2026 discussion note.</w:t>
      </w:r>
    </w:p>
    <w:p>
      <w:pPr>
        <w:spacing w:after="120" w:before="160"/>
      </w:pPr>
      <w:r>
        <w:rPr>
          <w:rFonts w:ascii="Segoe UI" w:hAnsi="Segoe UI" w:eastAsia="Segoe UI"/>
          <w:b/>
          <w:color w:val="2F5496"/>
          <w:sz w:val="25"/>
        </w:rPr>
        <w:t>Guideline value calculation</w:t>
      </w:r>
    </w:p>
    <w:p>
      <w:pPr>
        <w:spacing w:after="40" w:before="0"/>
      </w:pPr>
      <w:r>
        <w:rPr>
          <w:rFonts w:ascii="Segoe UI" w:hAnsi="Segoe UI" w:eastAsia="Segoe UI"/>
          <w:b/>
          <w:sz w:val="20"/>
        </w:rPr>
        <w:t>Karnataka Stamp Act, 1957 — Sec. 45-A</w:t>
      </w:r>
    </w:p>
    <w:p>
      <w:pPr>
        <w:spacing w:after="160" w:before="40"/>
      </w:pPr>
      <w:r>
        <w:rPr>
          <w:rFonts w:ascii="Segoe UI" w:hAnsi="Segoe UI" w:eastAsia="Segoe UI"/>
          <w:b/>
          <w:sz w:val="21"/>
        </w:rPr>
        <w:t xml:space="preserve">US-GV-01. </w:t>
      </w:r>
      <w:r>
        <w:rPr>
          <w:rFonts w:ascii="Segoe UI" w:hAnsi="Segoe UI" w:eastAsia="Segoe UI"/>
          <w:b w:val="0"/>
          <w:sz w:val="21"/>
        </w:rPr>
        <w:t>As a Sub-Registrar, I want to compare the consideration in the instrument with the market value guidelines published under Sec. 45-B, so that if the property is undervalued I can estimate the value, collect the extra duty, or refer the case to the Deputy Commissioner.</w:t>
      </w:r>
    </w:p>
    <w:p>
      <w:pPr>
        <w:spacing w:after="40" w:before="0"/>
      </w:pPr>
      <w:r>
        <w:rPr>
          <w:rFonts w:ascii="Segoe UI" w:hAnsi="Segoe UI" w:eastAsia="Segoe UI"/>
          <w:b/>
          <w:sz w:val="20"/>
        </w:rPr>
        <w:t>Karnataka Stamp Act, 1957 — Sec. 45-B</w:t>
      </w:r>
    </w:p>
    <w:p>
      <w:pPr>
        <w:spacing w:after="160" w:before="40"/>
      </w:pPr>
      <w:r>
        <w:rPr>
          <w:rFonts w:ascii="Segoe UI" w:hAnsi="Segoe UI" w:eastAsia="Segoe UI"/>
          <w:b/>
          <w:sz w:val="21"/>
        </w:rPr>
        <w:t xml:space="preserve">US-GV-02. </w:t>
      </w:r>
      <w:r>
        <w:rPr>
          <w:rFonts w:ascii="Segoe UI" w:hAnsi="Segoe UI" w:eastAsia="Segoe UI"/>
          <w:b w:val="0"/>
          <w:sz w:val="21"/>
        </w:rPr>
        <w:t>As a citizen / Sub-Registrar, I want to use the official market value guidelines published and revised under Sec. 45-B in guideline value calculation, so that stamp duty is computed on the current notified guideline rates and not on an unofficial figure.</w:t>
      </w:r>
    </w:p>
    <w:p>
      <w:pPr>
        <w:spacing w:after="40" w:before="0"/>
      </w:pPr>
      <w:r>
        <w:rPr>
          <w:rFonts w:ascii="Segoe UI" w:hAnsi="Segoe UI" w:eastAsia="Segoe UI"/>
          <w:b/>
          <w:sz w:val="20"/>
        </w:rPr>
        <w:t>Karnataka Stamp Act, 1957 — Sec. 3 + Schedule</w:t>
      </w:r>
    </w:p>
    <w:p>
      <w:pPr>
        <w:spacing w:after="160" w:before="40"/>
      </w:pPr>
      <w:r>
        <w:rPr>
          <w:rFonts w:ascii="Segoe UI" w:hAnsi="Segoe UI" w:eastAsia="Segoe UI"/>
          <w:b/>
          <w:sz w:val="21"/>
        </w:rPr>
        <w:t xml:space="preserve">US-GV-03. </w:t>
      </w:r>
      <w:r>
        <w:rPr>
          <w:rFonts w:ascii="Segoe UI" w:hAnsi="Segoe UI" w:eastAsia="Segoe UI"/>
          <w:b w:val="0"/>
          <w:sz w:val="21"/>
        </w:rPr>
        <w:t>As a citizen / Sub-Registrar, I want to calculate stamp duty ad valorem on market value for Schedule instruments (conveyance, gift, exchange and other listed articles), so that the correct Schedule article and rate are applied after guideline value is arrived at.</w:t>
      </w:r>
    </w:p>
    <w:p>
      <w:pPr>
        <w:spacing w:after="40" w:before="0"/>
      </w:pPr>
      <w:r>
        <w:rPr>
          <w:rFonts w:ascii="Segoe UI" w:hAnsi="Segoe UI" w:eastAsia="Segoe UI"/>
          <w:b/>
          <w:sz w:val="20"/>
        </w:rPr>
        <w:t>Karnataka Stamp (Prevention of Undervaluation of Instruments) Rules, 1977</w:t>
      </w:r>
    </w:p>
    <w:p>
      <w:pPr>
        <w:spacing w:after="160" w:before="40"/>
      </w:pPr>
      <w:r>
        <w:rPr>
          <w:rFonts w:ascii="Segoe UI" w:hAnsi="Segoe UI" w:eastAsia="Segoe UI"/>
          <w:b/>
          <w:sz w:val="21"/>
        </w:rPr>
        <w:t xml:space="preserve">US-GV-04. </w:t>
      </w:r>
      <w:r>
        <w:rPr>
          <w:rFonts w:ascii="Segoe UI" w:hAnsi="Segoe UI" w:eastAsia="Segoe UI"/>
          <w:b w:val="0"/>
          <w:sz w:val="21"/>
        </w:rPr>
        <w:t>As a Sub-Registrar, I want to capture property particulars and market value in Form I when starting a Sec. 45-A reference, so that the undervaluation case follows the notified procedure and has a complete property statement.</w:t>
      </w:r>
    </w:p>
    <w:p>
      <w:pPr>
        <w:spacing w:after="40" w:before="0"/>
      </w:pPr>
      <w:r>
        <w:rPr>
          <w:rFonts w:ascii="Segoe UI" w:hAnsi="Segoe UI" w:eastAsia="Segoe UI"/>
          <w:b/>
          <w:sz w:val="20"/>
        </w:rPr>
        <w:t>Registration Rules 13–15 (supporting)</w:t>
      </w:r>
    </w:p>
    <w:p>
      <w:pPr>
        <w:spacing w:after="160" w:before="40"/>
      </w:pPr>
      <w:r>
        <w:rPr>
          <w:rFonts w:ascii="Segoe UI" w:hAnsi="Segoe UI" w:eastAsia="Segoe UI"/>
          <w:b/>
          <w:sz w:val="21"/>
        </w:rPr>
        <w:t xml:space="preserve">US-GV-05. </w:t>
      </w:r>
      <w:r>
        <w:rPr>
          <w:rFonts w:ascii="Segoe UI" w:hAnsi="Segoe UI" w:eastAsia="Segoe UI"/>
          <w:b w:val="0"/>
          <w:sz w:val="21"/>
        </w:rPr>
        <w:t>As a citizen / Sub-Registrar, I want to enter survey number, territorial division and property description as required by Registration Rules 13–15, so that the system can pick the correct guideline rate for that property.</w:t>
      </w:r>
    </w:p>
    <w:p>
      <w:pPr>
        <w:spacing w:after="120" w:before="160"/>
      </w:pPr>
      <w:r>
        <w:rPr>
          <w:rFonts w:ascii="Segoe UI" w:hAnsi="Segoe UI" w:eastAsia="Segoe UI"/>
          <w:b/>
          <w:color w:val="2F5496"/>
          <w:sz w:val="25"/>
        </w:rPr>
        <w:t>Valuation Data Entry Module (CVC)</w:t>
      </w:r>
    </w:p>
    <w:p>
      <w:pPr>
        <w:spacing w:after="40" w:before="0"/>
      </w:pPr>
      <w:r>
        <w:rPr>
          <w:rFonts w:ascii="Segoe UI" w:hAnsi="Segoe UI" w:eastAsia="Segoe UI"/>
          <w:b/>
          <w:sz w:val="20"/>
        </w:rPr>
        <w:t>Karnataka Stamp Act, 1957 — Sec. 45-B (primary)</w:t>
      </w:r>
    </w:p>
    <w:p>
      <w:pPr>
        <w:spacing w:after="160" w:before="40"/>
      </w:pPr>
      <w:r>
        <w:rPr>
          <w:rFonts w:ascii="Segoe UI" w:hAnsi="Segoe UI" w:eastAsia="Segoe UI"/>
          <w:b/>
          <w:sz w:val="21"/>
        </w:rPr>
        <w:t xml:space="preserve">US-CVC-01. </w:t>
      </w:r>
      <w:r>
        <w:rPr>
          <w:rFonts w:ascii="Segoe UI" w:hAnsi="Segoe UI" w:eastAsia="Segoe UI"/>
          <w:b w:val="0"/>
          <w:sz w:val="21"/>
        </w:rPr>
        <w:t>As a IGR / Central Valuation Committee, I want to estimate, publish and revise market value guidelines and constitute district / sub-district market valuation sub-committees, so that CVC remains the final authority for policy, methodology and administration of guideline rates in the State.</w:t>
      </w:r>
    </w:p>
    <w:p>
      <w:pPr>
        <w:spacing w:after="160" w:before="40"/>
      </w:pPr>
      <w:r>
        <w:rPr>
          <w:rFonts w:ascii="Segoe UI" w:hAnsi="Segoe UI" w:eastAsia="Segoe UI"/>
          <w:b/>
          <w:sz w:val="21"/>
        </w:rPr>
        <w:t xml:space="preserve">US-CVC-02. </w:t>
      </w:r>
      <w:r>
        <w:rPr>
          <w:rFonts w:ascii="Segoe UI" w:hAnsi="Segoe UI" w:eastAsia="Segoe UI"/>
          <w:b w:val="0"/>
          <w:sz w:val="21"/>
        </w:rPr>
        <w:t>As a CVC / valuation data-entry officer, I want to enter, update and publish guideline rates in the Valuation Module for use by SR and citizen logins, so that rates are available for guideline value calculation and do not go missing in office or citizen screens.</w:t>
      </w:r>
    </w:p>
    <w:p>
      <w:pPr>
        <w:spacing w:after="40" w:before="0"/>
      </w:pPr>
      <w:r>
        <w:rPr>
          <w:rFonts w:ascii="Segoe UI" w:hAnsi="Segoe UI" w:eastAsia="Segoe UI"/>
          <w:b/>
          <w:sz w:val="20"/>
        </w:rPr>
        <w:t>Karnataka Stamp Act, 1957 — Sec. 2(ac)</w:t>
      </w:r>
    </w:p>
    <w:p>
      <w:pPr>
        <w:spacing w:after="160" w:before="40"/>
      </w:pPr>
      <w:r>
        <w:rPr>
          <w:rFonts w:ascii="Segoe UI" w:hAnsi="Segoe UI" w:eastAsia="Segoe UI"/>
          <w:b/>
          <w:sz w:val="21"/>
        </w:rPr>
        <w:t xml:space="preserve">US-CVC-03. </w:t>
      </w:r>
      <w:r>
        <w:rPr>
          <w:rFonts w:ascii="Segoe UI" w:hAnsi="Segoe UI" w:eastAsia="Segoe UI"/>
          <w:b w:val="0"/>
          <w:sz w:val="21"/>
        </w:rPr>
        <w:t>As a system administrator / department user, I want to maintain Central Valuation Committee as the statutory body defined in Sec. 2(ac), so that valuation masters and approvals are owned by the correct legal entity.</w:t>
      </w:r>
    </w:p>
    <w:p>
      <w:pPr>
        <w:spacing w:after="40" w:before="0"/>
      </w:pPr>
      <w:r>
        <w:rPr>
          <w:rFonts w:ascii="Segoe UI" w:hAnsi="Segoe UI" w:eastAsia="Segoe UI"/>
          <w:b/>
          <w:sz w:val="20"/>
        </w:rPr>
        <w:t>Karnataka Stamp Act, 1957 — Sec. 45-A</w:t>
      </w:r>
    </w:p>
    <w:p>
      <w:pPr>
        <w:spacing w:after="160" w:before="40"/>
      </w:pPr>
      <w:r>
        <w:rPr>
          <w:rFonts w:ascii="Segoe UI" w:hAnsi="Segoe UI" w:eastAsia="Segoe UI"/>
          <w:b/>
          <w:sz w:val="21"/>
        </w:rPr>
        <w:t xml:space="preserve">US-CVC-04. </w:t>
      </w:r>
      <w:r>
        <w:rPr>
          <w:rFonts w:ascii="Segoe UI" w:hAnsi="Segoe UI" w:eastAsia="Segoe UI"/>
          <w:b w:val="0"/>
          <w:sz w:val="21"/>
        </w:rPr>
        <w:t>As a Sub-Registrar, I want to apply the CVC-published guidelines at the time of registration for stamp duty, so that duty is charged on the higher of consideration and guideline value where Sec. 45-A applies.</w:t>
      </w:r>
    </w:p>
    <w:p>
      <w:pPr>
        <w:spacing w:after="160" w:before="40"/>
      </w:pPr>
      <w:r>
        <w:rPr>
          <w:rFonts w:ascii="Segoe UI" w:hAnsi="Segoe UI" w:eastAsia="Segoe UI"/>
          <w:b/>
          <w:sz w:val="21"/>
        </w:rPr>
        <w:t xml:space="preserve">US-CVC-05. </w:t>
      </w:r>
      <w:r>
        <w:rPr>
          <w:rFonts w:ascii="Segoe UI" w:hAnsi="Segoe UI" w:eastAsia="Segoe UI"/>
          <w:b w:val="0"/>
          <w:sz w:val="21"/>
        </w:rPr>
        <w:t>As a citizen / Sub-Registrar, I want to see and use the District Registrar’s adjudicated Sec. 45-A value instead of an automatically higher guideline figure, so that the summary and payment match the legally decided market value.</w:t>
      </w:r>
    </w:p>
    <w:p>
      <w:pPr>
        <w:spacing w:after="40" w:before="0"/>
      </w:pPr>
      <w:r>
        <w:rPr>
          <w:rFonts w:ascii="Segoe UI" w:hAnsi="Segoe UI" w:eastAsia="Segoe UI"/>
          <w:b/>
          <w:sz w:val="20"/>
        </w:rPr>
        <w:t>Prevention of Undervaluation Rules, 1977 (GSR 81 / RD 73 EST 74)</w:t>
      </w:r>
    </w:p>
    <w:p>
      <w:pPr>
        <w:spacing w:after="160" w:before="40"/>
      </w:pPr>
      <w:r>
        <w:rPr>
          <w:rFonts w:ascii="Segoe UI" w:hAnsi="Segoe UI" w:eastAsia="Segoe UI"/>
          <w:b/>
          <w:sz w:val="21"/>
        </w:rPr>
        <w:t xml:space="preserve">US-CVC-06. </w:t>
      </w:r>
      <w:r>
        <w:rPr>
          <w:rFonts w:ascii="Segoe UI" w:hAnsi="Segoe UI" w:eastAsia="Segoe UI"/>
          <w:b w:val="0"/>
          <w:sz w:val="21"/>
        </w:rPr>
        <w:t>As a Sub-Registrar / Deputy Commissioner, I want to run Form I capture, DC determination of market value, and the appeal path under the 1977 Rules, so that a Sec. 45-A undervaluation case can be completed, paid and released without a data or payment stuck state.</w:t>
      </w:r>
    </w:p>
    <w:p>
      <w:pPr>
        <w:spacing w:after="40" w:before="0"/>
      </w:pPr>
      <w:r>
        <w:rPr>
          <w:rFonts w:ascii="Segoe UI" w:hAnsi="Segoe UI" w:eastAsia="Segoe UI"/>
          <w:b/>
          <w:sz w:val="20"/>
        </w:rPr>
        <w:t>Notification / amendment — Act 8 of 2003 (w.e.f. 1-4-2003)</w:t>
      </w:r>
    </w:p>
    <w:p>
      <w:pPr>
        <w:spacing w:after="160" w:before="40"/>
      </w:pPr>
      <w:r>
        <w:rPr>
          <w:rFonts w:ascii="Segoe UI" w:hAnsi="Segoe UI" w:eastAsia="Segoe UI"/>
          <w:b/>
          <w:sz w:val="21"/>
        </w:rPr>
        <w:t xml:space="preserve">US-CVC-07. </w:t>
      </w:r>
      <w:r>
        <w:rPr>
          <w:rFonts w:ascii="Segoe UI" w:hAnsi="Segoe UI" w:eastAsia="Segoe UI"/>
          <w:b w:val="0"/>
          <w:sz w:val="21"/>
        </w:rPr>
        <w:t>As a CVC administrator, I want to operate the Valuation Module on the Sec. 45-B framework as strengthened by Act 8 of 2003, so that guideline publication, revision cycles and sub-committee working match the current CVC law.</w:t>
      </w:r>
    </w:p>
    <w:p>
      <w:pPr>
        <w:spacing w:after="40" w:before="0"/>
      </w:pPr>
      <w:r>
        <w:rPr>
          <w:rFonts w:ascii="Segoe UI" w:hAnsi="Segoe UI" w:eastAsia="Segoe UI"/>
          <w:b/>
          <w:sz w:val="20"/>
        </w:rPr>
        <w:t>Amendment — RD 264 MUNOMU 99 (18-8-1999)</w:t>
      </w:r>
    </w:p>
    <w:p>
      <w:pPr>
        <w:spacing w:after="160" w:before="40"/>
      </w:pPr>
      <w:r>
        <w:rPr>
          <w:rFonts w:ascii="Segoe UI" w:hAnsi="Segoe UI" w:eastAsia="Segoe UI"/>
          <w:b/>
          <w:sz w:val="21"/>
        </w:rPr>
        <w:t xml:space="preserve">US-CVC-08. </w:t>
      </w:r>
      <w:r>
        <w:rPr>
          <w:rFonts w:ascii="Segoe UI" w:hAnsi="Segoe UI" w:eastAsia="Segoe UI"/>
          <w:b w:val="0"/>
          <w:sz w:val="21"/>
        </w:rPr>
        <w:t>As a Deputy Commissioner / District Registrar, I want to follow the undervaluation workflow as amended by RD 264 MUNOMU 99 (no obsolete provisional / Rule 6 path), so that orders and screens match the Rules now in force.</w:t>
      </w:r>
    </w:p>
    <w:p>
      <w:pPr>
        <w:spacing w:after="120" w:before="160"/>
      </w:pPr>
      <w:r>
        <w:rPr>
          <w:rFonts w:ascii="Segoe UI" w:hAnsi="Segoe UI" w:eastAsia="Segoe UI"/>
          <w:b/>
          <w:color w:val="2F5496"/>
          <w:sz w:val="25"/>
        </w:rPr>
        <w:t>GIS valuation</w:t>
      </w:r>
    </w:p>
    <w:p>
      <w:pPr>
        <w:spacing w:after="40" w:before="0"/>
      </w:pPr>
      <w:r>
        <w:rPr>
          <w:rFonts w:ascii="Segoe UI" w:hAnsi="Segoe UI" w:eastAsia="Segoe UI"/>
          <w:b/>
          <w:sz w:val="20"/>
        </w:rPr>
        <w:t>GIS + CVC guideline rates (KSRSAC integration)</w:t>
      </w:r>
    </w:p>
    <w:p>
      <w:pPr>
        <w:spacing w:after="160" w:before="40"/>
      </w:pPr>
      <w:r>
        <w:rPr>
          <w:rFonts w:ascii="Segoe UI" w:hAnsi="Segoe UI" w:eastAsia="Segoe UI"/>
          <w:b/>
          <w:sz w:val="21"/>
        </w:rPr>
        <w:t xml:space="preserve">US-GIS-01. </w:t>
      </w:r>
      <w:r>
        <w:rPr>
          <w:rFonts w:ascii="Segoe UI" w:hAnsi="Segoe UI" w:eastAsia="Segoe UI"/>
          <w:b w:val="0"/>
          <w:sz w:val="21"/>
        </w:rPr>
        <w:t>As a citizen / Sub-Registrar, I want to locate the property on GIS (KSRSAC) and apply the matching CVC guideline rate for that area, so that valuation uses the correct spatial rate and not a neighbouring village, road or urban slab.</w:t>
      </w:r>
    </w:p>
    <w:p>
      <w:pPr>
        <w:spacing w:after="40" w:before="0"/>
      </w:pPr>
      <w:r>
        <w:rPr>
          <w:rFonts w:ascii="Segoe UI" w:hAnsi="Segoe UI" w:eastAsia="Segoe UI"/>
          <w:b/>
          <w:sz w:val="20"/>
        </w:rPr>
        <w:t>Registration Rules 13–15 / survey description</w:t>
      </w:r>
    </w:p>
    <w:p>
      <w:pPr>
        <w:spacing w:after="160" w:before="40"/>
      </w:pPr>
      <w:r>
        <w:rPr>
          <w:rFonts w:ascii="Segoe UI" w:hAnsi="Segoe UI" w:eastAsia="Segoe UI"/>
          <w:b/>
          <w:sz w:val="21"/>
        </w:rPr>
        <w:t xml:space="preserve">US-GIS-02. </w:t>
      </w:r>
      <w:r>
        <w:rPr>
          <w:rFonts w:ascii="Segoe UI" w:hAnsi="Segoe UI" w:eastAsia="Segoe UI"/>
          <w:b w:val="0"/>
          <w:sz w:val="21"/>
        </w:rPr>
        <w:t>As a citizen / Sub-Registrar, I want to map survey number, Pot Hissa / city survey and territorial division to the GIS layer, so that guideline value can be calculated even for small extents (for example 1 gunta) with the correct rural or urban building rate.</w:t>
      </w:r>
    </w:p>
    <w:p>
      <w:pPr>
        <w:spacing w:after="160" w:before="40"/>
      </w:pPr>
      <w:r>
        <w:rPr>
          <w:rFonts w:ascii="Segoe UI" w:hAnsi="Segoe UI" w:eastAsia="Segoe UI"/>
          <w:b/>
          <w:sz w:val="21"/>
        </w:rPr>
        <w:t xml:space="preserve">US-GIS-03. </w:t>
      </w:r>
      <w:r>
        <w:rPr>
          <w:rFonts w:ascii="Segoe UI" w:hAnsi="Segoe UI" w:eastAsia="Segoe UI"/>
          <w:b w:val="0"/>
          <w:sz w:val="21"/>
        </w:rPr>
        <w:t>As a valuation / GIS administrator, I want to keep village, road and survey masters aligned between Kaveri, CVC rates and KSRSAC, so that wrong road names, missing village splits and failed survey fetch do not produce a blank or wrong market value.</w:t>
      </w:r>
    </w:p>
    <w:p>
      <w:r>
        <w:br w:type="page"/>
      </w:r>
    </w:p>
    <w:p>
      <w:pPr>
        <w:spacing w:after="120" w:before="280"/>
      </w:pPr>
      <w:r>
        <w:rPr>
          <w:rFonts w:ascii="Segoe UI" w:hAnsi="Segoe UI" w:eastAsia="Segoe UI"/>
          <w:b/>
          <w:color w:val="1F4E79"/>
          <w:sz w:val="36"/>
        </w:rPr>
        <w:t>5. 02-09-2026 — Rule 17 Filing, Old Pending Release &amp; Govt/Institutional E-filing</w:t>
      </w:r>
    </w:p>
    <w:tbl>
      <w:tblPr>
        <w:tblStyle w:val="TableGrid"/>
        <w:tblW w:type="auto" w:w="0"/>
        <w:tblLook w:firstColumn="1" w:firstRow="1" w:lastColumn="0" w:lastRow="0" w:noHBand="0" w:noVBand="1" w:val="04A0"/>
      </w:tblPr>
      <w:tblGrid>
        <w:gridCol w:w="5040"/>
        <w:gridCol w:w="5040"/>
      </w:tblGrid>
      <w:tr>
        <w:tc>
          <w:tcPr>
            <w:tcW w:type="dxa" w:w="2304"/>
            <w:shd w:val="clear" w:color="auto" w:fill="1F4E79"/>
          </w:tcPr>
          <w:p>
            <w:r>
              <w:rPr>
                <w:b/>
                <w:color w:val="FFFFFF"/>
              </w:rPr>
            </w:r>
            <w:r>
              <w:rPr>
                <w:rFonts w:ascii="Times New Roman" w:hAnsi="Times New Roman" w:eastAsia="Times New Roman"/>
                <w:b/>
                <w:color w:val="FFFFFF"/>
                <w:sz w:val="20"/>
              </w:rPr>
              <w:t>Field</w:t>
            </w:r>
          </w:p>
        </w:tc>
        <w:tc>
          <w:tcPr>
            <w:tcW w:type="dxa" w:w="7488"/>
            <w:shd w:val="clear" w:color="auto" w:fill="1F4E79"/>
          </w:tcPr>
          <w:p>
            <w:r>
              <w:rPr>
                <w:b/>
                <w:color w:val="FFFFFF"/>
              </w:rPr>
            </w:r>
            <w:r>
              <w:rPr>
                <w:rFonts w:ascii="Times New Roman" w:hAnsi="Times New Roman" w:eastAsia="Times New Roman"/>
                <w:b/>
                <w:color w:val="FFFFFF"/>
                <w:sz w:val="20"/>
              </w:rPr>
              <w:t>Details</w:t>
            </w:r>
          </w:p>
        </w:tc>
      </w:tr>
      <w:tr>
        <w:tc>
          <w:tcPr>
            <w:tcW w:type="dxa" w:w="2304"/>
          </w:tcPr>
          <w:p>
            <w:r/>
            <w:r>
              <w:rPr>
                <w:rFonts w:ascii="Times New Roman" w:hAnsi="Times New Roman" w:eastAsia="Times New Roman"/>
                <w:b w:val="0"/>
                <w:sz w:val="19"/>
              </w:rPr>
              <w:t>Date</w:t>
            </w:r>
          </w:p>
        </w:tc>
        <w:tc>
          <w:tcPr>
            <w:tcW w:type="dxa" w:w="7488"/>
          </w:tcPr>
          <w:p>
            <w:r/>
            <w:r>
              <w:rPr>
                <w:rFonts w:ascii="Times New Roman" w:hAnsi="Times New Roman" w:eastAsia="Times New Roman"/>
                <w:b w:val="0"/>
                <w:sz w:val="19"/>
              </w:rPr>
              <w:t>02-09-2026</w:t>
            </w:r>
          </w:p>
        </w:tc>
      </w:tr>
      <w:tr>
        <w:tc>
          <w:tcPr>
            <w:tcW w:type="dxa" w:w="2304"/>
          </w:tcPr>
          <w:p>
            <w:r/>
            <w:r>
              <w:rPr>
                <w:rFonts w:ascii="Times New Roman" w:hAnsi="Times New Roman" w:eastAsia="Times New Roman"/>
                <w:b w:val="0"/>
                <w:sz w:val="19"/>
              </w:rPr>
              <w:t>Topics</w:t>
            </w:r>
          </w:p>
        </w:tc>
        <w:tc>
          <w:tcPr>
            <w:tcW w:type="dxa" w:w="7488"/>
          </w:tcPr>
          <w:p>
            <w:r/>
            <w:r>
              <w:rPr>
                <w:rFonts w:ascii="Times New Roman" w:hAnsi="Times New Roman" w:eastAsia="Times New Roman"/>
                <w:b w:val="0"/>
                <w:sz w:val="19"/>
              </w:rPr>
              <w:t>Rule 17(2) filing, Rule 17(3) filing, Old pending release module, e-filing from Govt/Institutional, Rule 17(1)</w:t>
            </w:r>
          </w:p>
        </w:tc>
      </w:tr>
      <w:tr>
        <w:tc>
          <w:tcPr>
            <w:tcW w:type="dxa" w:w="2304"/>
          </w:tcPr>
          <w:p>
            <w:r/>
            <w:r>
              <w:rPr>
                <w:rFonts w:ascii="Times New Roman" w:hAnsi="Times New Roman" w:eastAsia="Times New Roman"/>
                <w:b w:val="0"/>
                <w:sz w:val="19"/>
              </w:rPr>
              <w:t>Attendees</w:t>
            </w:r>
          </w:p>
        </w:tc>
        <w:tc>
          <w:tcPr>
            <w:tcW w:type="dxa" w:w="7488"/>
          </w:tcPr>
          <w:p>
            <w:r/>
            <w:r>
              <w:rPr>
                <w:rFonts w:ascii="Times New Roman" w:hAnsi="Times New Roman" w:eastAsia="Times New Roman"/>
                <w:b w:val="0"/>
                <w:sz w:val="19"/>
              </w:rPr>
              <w:t>Kaveri IT Cell, AIGR Computers team</w:t>
            </w:r>
          </w:p>
        </w:tc>
      </w:tr>
      <w:tr>
        <w:tc>
          <w:tcPr>
            <w:tcW w:type="dxa" w:w="2304"/>
          </w:tcPr>
          <w:p>
            <w:r/>
            <w:r>
              <w:rPr>
                <w:rFonts w:ascii="Times New Roman" w:hAnsi="Times New Roman" w:eastAsia="Times New Roman"/>
                <w:b w:val="0"/>
                <w:sz w:val="19"/>
              </w:rPr>
              <w:t>Version</w:t>
            </w:r>
          </w:p>
        </w:tc>
        <w:tc>
          <w:tcPr>
            <w:tcW w:type="dxa" w:w="7488"/>
          </w:tcPr>
          <w:p>
            <w:r/>
            <w:r>
              <w:rPr>
                <w:rFonts w:ascii="Times New Roman" w:hAnsi="Times New Roman" w:eastAsia="Times New Roman"/>
                <w:b w:val="0"/>
                <w:sz w:val="19"/>
              </w:rPr>
              <w:t>1.1 (04-09-2026) — Rule 17(i) Part IV and Part V listed separately; Part VI added in section A</w:t>
            </w:r>
          </w:p>
        </w:tc>
      </w:tr>
      <w:tr>
        <w:tc>
          <w:tcPr>
            <w:tcW w:type="dxa" w:w="2304"/>
          </w:tcPr>
          <w:p>
            <w:r/>
            <w:r>
              <w:rPr>
                <w:rFonts w:ascii="Times New Roman" w:hAnsi="Times New Roman" w:eastAsia="Times New Roman"/>
                <w:b w:val="0"/>
                <w:sz w:val="19"/>
              </w:rPr>
              <w:t>Source</w:t>
            </w:r>
          </w:p>
        </w:tc>
        <w:tc>
          <w:tcPr>
            <w:tcW w:type="dxa" w:w="7488"/>
          </w:tcPr>
          <w:p>
            <w:r/>
            <w:r>
              <w:rPr>
                <w:rFonts w:ascii="Times New Roman" w:hAnsi="Times New Roman" w:eastAsia="Times New Roman"/>
                <w:b w:val="0"/>
                <w:sz w:val="19"/>
              </w:rPr>
              <w:t>Document_Registration_requirement_02092026_v1.1.docx</w:t>
            </w:r>
          </w:p>
        </w:tc>
      </w:tr>
    </w:tbl>
    <w:p/>
    <w:p>
      <w:pPr>
        <w:spacing w:after="120" w:before="280"/>
      </w:pPr>
      <w:r>
        <w:rPr>
          <w:rFonts w:ascii="Segoe UI" w:hAnsi="Segoe UI" w:eastAsia="Segoe UI"/>
          <w:b/>
          <w:color w:val="2E75B6"/>
          <w:sz w:val="28"/>
        </w:rPr>
        <w:t>5.1 Primary Acts (Sections)</w:t>
      </w:r>
    </w:p>
    <w:tbl>
      <w:tblPr>
        <w:tblStyle w:val="TableGrid"/>
        <w:tblW w:type="auto" w:w="0"/>
        <w:tblLook w:firstColumn="1" w:firstRow="1" w:lastColumn="0" w:lastRow="0" w:noHBand="0" w:noVBand="1" w:val="04A0"/>
      </w:tblPr>
      <w:tblGrid>
        <w:gridCol w:w="3360"/>
        <w:gridCol w:w="3360"/>
        <w:gridCol w:w="3360"/>
      </w:tblGrid>
      <w:tr>
        <w:tc>
          <w:tcPr>
            <w:tcW w:type="dxa" w:w="3168"/>
            <w:shd w:val="clear" w:color="auto" w:fill="1F4E79"/>
          </w:tcPr>
          <w:p>
            <w:r>
              <w:rPr>
                <w:b/>
                <w:color w:val="FFFFFF"/>
              </w:rPr>
            </w:r>
            <w:r>
              <w:rPr>
                <w:rFonts w:ascii="Times New Roman" w:hAnsi="Times New Roman" w:eastAsia="Times New Roman"/>
                <w:b/>
                <w:color w:val="FFFFFF"/>
                <w:sz w:val="20"/>
              </w:rPr>
              <w:t>Act</w:t>
            </w:r>
          </w:p>
        </w:tc>
        <w:tc>
          <w:tcPr>
            <w:tcW w:type="dxa" w:w="2592"/>
            <w:shd w:val="clear" w:color="auto" w:fill="1F4E79"/>
          </w:tcPr>
          <w:p>
            <w:r>
              <w:rPr>
                <w:b/>
                <w:color w:val="FFFFFF"/>
              </w:rPr>
            </w:r>
            <w:r>
              <w:rPr>
                <w:rFonts w:ascii="Times New Roman" w:hAnsi="Times New Roman" w:eastAsia="Times New Roman"/>
                <w:b/>
                <w:color w:val="FFFFFF"/>
                <w:sz w:val="20"/>
              </w:rPr>
              <w:t>Sections</w:t>
            </w:r>
          </w:p>
        </w:tc>
        <w:tc>
          <w:tcPr>
            <w:tcW w:type="dxa" w:w="4032"/>
            <w:shd w:val="clear" w:color="auto" w:fill="1F4E79"/>
          </w:tcPr>
          <w:p>
            <w:r>
              <w:rPr>
                <w:b/>
                <w:color w:val="FFFFFF"/>
              </w:rPr>
            </w:r>
            <w:r>
              <w:rPr>
                <w:rFonts w:ascii="Times New Roman" w:hAnsi="Times New Roman" w:eastAsia="Times New Roman"/>
                <w:b/>
                <w:color w:val="FFFFFF"/>
                <w:sz w:val="20"/>
              </w:rPr>
              <w:t>Relevance</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 19, 62</w:t>
            </w:r>
          </w:p>
        </w:tc>
        <w:tc>
          <w:tcPr>
            <w:tcW w:type="dxa" w:w="4032"/>
          </w:tcPr>
          <w:p>
            <w:r/>
            <w:r>
              <w:rPr>
                <w:rFonts w:ascii="Times New Roman" w:hAnsi="Times New Roman" w:eastAsia="Times New Roman"/>
                <w:b w:val="0"/>
                <w:sz w:val="19"/>
              </w:rPr>
              <w:t>Documents in a language not understood / translations &amp; copies → feed Rule 17(ii) filing</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 21</w:t>
            </w:r>
          </w:p>
        </w:tc>
        <w:tc>
          <w:tcPr>
            <w:tcW w:type="dxa" w:w="4032"/>
          </w:tcPr>
          <w:p>
            <w:r/>
            <w:r>
              <w:rPr>
                <w:rFonts w:ascii="Times New Roman" w:hAnsi="Times New Roman" w:eastAsia="Times New Roman"/>
                <w:b w:val="0"/>
                <w:sz w:val="19"/>
              </w:rPr>
              <w:t>Maps/plans with documents → Rule 17(i) Part II</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 64–67</w:t>
            </w:r>
          </w:p>
        </w:tc>
        <w:tc>
          <w:tcPr>
            <w:tcW w:type="dxa" w:w="4032"/>
          </w:tcPr>
          <w:p>
            <w:r/>
            <w:r>
              <w:rPr>
                <w:rFonts w:ascii="Times New Roman" w:hAnsi="Times New Roman" w:eastAsia="Times New Roman"/>
                <w:b w:val="0"/>
                <w:sz w:val="19"/>
              </w:rPr>
              <w:t>Memoranda across offices/districts → Rule 17(i) Part I</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 23, 25, 34</w:t>
            </w:r>
          </w:p>
        </w:tc>
        <w:tc>
          <w:tcPr>
            <w:tcW w:type="dxa" w:w="4032"/>
          </w:tcPr>
          <w:p>
            <w:r/>
            <w:r>
              <w:rPr>
                <w:rFonts w:ascii="Times New Roman" w:hAnsi="Times New Roman" w:eastAsia="Times New Roman"/>
                <w:b w:val="0"/>
                <w:sz w:val="19"/>
              </w:rPr>
              <w:t>Time of presentation; delay &amp; fine → old pending (condonation / fine pending)</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 33 (Stamp Act cross-link via Rules)</w:t>
            </w:r>
          </w:p>
        </w:tc>
        <w:tc>
          <w:tcPr>
            <w:tcW w:type="dxa" w:w="4032"/>
          </w:tcPr>
          <w:p>
            <w:r/>
            <w:r>
              <w:rPr>
                <w:rFonts w:ascii="Times New Roman" w:hAnsi="Times New Roman" w:eastAsia="Times New Roman"/>
                <w:b w:val="0"/>
                <w:sz w:val="19"/>
              </w:rPr>
              <w:t>Impounding inadequately stamped docs → pending</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 71–77</w:t>
            </w:r>
          </w:p>
        </w:tc>
        <w:tc>
          <w:tcPr>
            <w:tcW w:type="dxa" w:w="4032"/>
          </w:tcPr>
          <w:p>
            <w:r/>
            <w:r>
              <w:rPr>
                <w:rFonts w:ascii="Times New Roman" w:hAnsi="Times New Roman" w:eastAsia="Times New Roman"/>
                <w:b w:val="0"/>
                <w:sz w:val="19"/>
              </w:rPr>
              <w:t>Refusal / appeal → pending until disposed</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 88</w:t>
            </w:r>
          </w:p>
        </w:tc>
        <w:tc>
          <w:tcPr>
            <w:tcW w:type="dxa" w:w="4032"/>
          </w:tcPr>
          <w:p>
            <w:r/>
            <w:r>
              <w:rPr>
                <w:rFonts w:ascii="Times New Roman" w:hAnsi="Times New Roman" w:eastAsia="Times New Roman"/>
                <w:b w:val="0"/>
                <w:sz w:val="19"/>
              </w:rPr>
              <w:t>Registration of documents executed by Government officers / public functionaries → Govt/Institutional filing</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 89</w:t>
            </w:r>
          </w:p>
        </w:tc>
        <w:tc>
          <w:tcPr>
            <w:tcW w:type="dxa" w:w="4032"/>
          </w:tcPr>
          <w:p>
            <w:r/>
            <w:r>
              <w:rPr>
                <w:rFonts w:ascii="Times New Roman" w:hAnsi="Times New Roman" w:eastAsia="Times New Roman"/>
                <w:b w:val="0"/>
                <w:sz w:val="19"/>
              </w:rPr>
              <w:t>Copies of certain orders, certificates and instruments to be sent to registering officers and filed → institutional / court / revenue filing</w:t>
            </w:r>
          </w:p>
        </w:tc>
      </w:tr>
      <w:tr>
        <w:tc>
          <w:tcPr>
            <w:tcW w:type="dxa" w:w="3168"/>
          </w:tcPr>
          <w:p>
            <w:r/>
            <w:r>
              <w:rPr>
                <w:rFonts w:ascii="Times New Roman" w:hAnsi="Times New Roman" w:eastAsia="Times New Roman"/>
                <w:b w:val="0"/>
                <w:sz w:val="19"/>
              </w:rPr>
              <w:t>The Registration Act, 1908</w:t>
            </w:r>
          </w:p>
        </w:tc>
        <w:tc>
          <w:tcPr>
            <w:tcW w:type="dxa" w:w="2592"/>
          </w:tcPr>
          <w:p>
            <w:r/>
            <w:r>
              <w:rPr>
                <w:rFonts w:ascii="Times New Roman" w:hAnsi="Times New Roman" w:eastAsia="Times New Roman"/>
                <w:b w:val="0"/>
                <w:sz w:val="19"/>
              </w:rPr>
              <w:t>Sec. 90–91</w:t>
            </w:r>
          </w:p>
        </w:tc>
        <w:tc>
          <w:tcPr>
            <w:tcW w:type="dxa" w:w="4032"/>
          </w:tcPr>
          <w:p>
            <w:r/>
            <w:r>
              <w:rPr>
                <w:rFonts w:ascii="Times New Roman" w:hAnsi="Times New Roman" w:eastAsia="Times New Roman"/>
                <w:b w:val="0"/>
                <w:sz w:val="19"/>
              </w:rPr>
              <w:t>Exemption of certain Govt documents from registration; inspection/copies</w:t>
            </w:r>
          </w:p>
        </w:tc>
      </w:tr>
      <w:tr>
        <w:tc>
          <w:tcPr>
            <w:tcW w:type="dxa" w:w="3168"/>
          </w:tcPr>
          <w:p>
            <w:r/>
            <w:r>
              <w:rPr>
                <w:rFonts w:ascii="Times New Roman" w:hAnsi="Times New Roman" w:eastAsia="Times New Roman"/>
                <w:b w:val="0"/>
                <w:sz w:val="19"/>
              </w:rPr>
              <w:t>Karnataka Stamp Act, 1957</w:t>
            </w:r>
          </w:p>
        </w:tc>
        <w:tc>
          <w:tcPr>
            <w:tcW w:type="dxa" w:w="2592"/>
          </w:tcPr>
          <w:p>
            <w:r/>
            <w:r>
              <w:rPr>
                <w:rFonts w:ascii="Times New Roman" w:hAnsi="Times New Roman" w:eastAsia="Times New Roman"/>
                <w:b w:val="0"/>
                <w:sz w:val="19"/>
              </w:rPr>
              <w:t>Secs. 33–39, 45-A</w:t>
            </w:r>
          </w:p>
        </w:tc>
        <w:tc>
          <w:tcPr>
            <w:tcW w:type="dxa" w:w="4032"/>
          </w:tcPr>
          <w:p>
            <w:r/>
            <w:r>
              <w:rPr>
                <w:rFonts w:ascii="Times New Roman" w:hAnsi="Times New Roman" w:eastAsia="Times New Roman"/>
                <w:b w:val="0"/>
                <w:sz w:val="19"/>
              </w:rPr>
              <w:t>Impounding / undervaluation → documents held pending until duty adjudicated / paid</w:t>
            </w:r>
          </w:p>
        </w:tc>
      </w:tr>
      <w:tr>
        <w:tc>
          <w:tcPr>
            <w:tcW w:type="dxa" w:w="3168"/>
          </w:tcPr>
          <w:p>
            <w:r/>
            <w:r>
              <w:rPr>
                <w:rFonts w:ascii="Times New Roman" w:hAnsi="Times New Roman" w:eastAsia="Times New Roman"/>
                <w:b w:val="0"/>
                <w:sz w:val="19"/>
              </w:rPr>
              <w:t>Related filing statutes (via Rule 17 Parts III–V)</w:t>
            </w:r>
          </w:p>
        </w:tc>
        <w:tc>
          <w:tcPr>
            <w:tcW w:type="dxa" w:w="2592"/>
          </w:tcPr>
          <w:p>
            <w:r/>
            <w:r>
              <w:rPr>
                <w:rFonts w:ascii="Times New Roman" w:hAnsi="Times New Roman" w:eastAsia="Times New Roman"/>
                <w:b w:val="0"/>
                <w:sz w:val="19"/>
              </w:rPr>
              <w:t>Land Acquisition Act; Karnataka Land Improvement Loans Act, 1963; Karnataka Agriculturists Loans Act, 1963; Karnataka Co-operative Societies Act, 1959 (Sec. 85-A)</w:t>
            </w:r>
          </w:p>
        </w:tc>
        <w:tc>
          <w:tcPr>
            <w:tcW w:type="dxa" w:w="4032"/>
          </w:tcPr>
          <w:p>
            <w:r/>
            <w:r>
              <w:rPr>
                <w:rFonts w:ascii="Times New Roman" w:hAnsi="Times New Roman" w:eastAsia="Times New Roman"/>
                <w:b w:val="0"/>
                <w:sz w:val="19"/>
              </w:rPr>
              <w:t>Source instruments filed into Book 1 supplements</w:t>
            </w:r>
          </w:p>
        </w:tc>
      </w:tr>
    </w:tbl>
    <w:p/>
    <w:p>
      <w:pPr>
        <w:spacing w:after="120" w:before="280"/>
      </w:pPr>
      <w:r>
        <w:rPr>
          <w:rFonts w:ascii="Segoe UI" w:hAnsi="Segoe UI" w:eastAsia="Segoe UI"/>
          <w:b/>
          <w:color w:val="2E75B6"/>
          <w:sz w:val="28"/>
        </w:rPr>
        <w:t>5.2 Primary Rules</w:t>
      </w:r>
    </w:p>
    <w:p>
      <w:pPr>
        <w:spacing w:after="120" w:before="160"/>
      </w:pPr>
      <w:r>
        <w:rPr>
          <w:rFonts w:ascii="Segoe UI" w:hAnsi="Segoe UI" w:eastAsia="Segoe UI"/>
          <w:b/>
          <w:color w:val="2F5496"/>
          <w:sz w:val="25"/>
        </w:rPr>
        <w:t>A. Rule 17 filing</w:t>
      </w:r>
    </w:p>
    <w:tbl>
      <w:tblPr>
        <w:tblStyle w:val="TableGrid"/>
        <w:tblW w:type="auto" w:w="0"/>
        <w:tblLook w:firstColumn="1" w:firstRow="1" w:lastColumn="0" w:lastRow="0" w:noHBand="0" w:noVBand="1" w:val="04A0"/>
      </w:tblPr>
      <w:tblGrid>
        <w:gridCol w:w="3360"/>
        <w:gridCol w:w="3360"/>
        <w:gridCol w:w="3360"/>
      </w:tblGrid>
      <w:tr>
        <w:tc>
          <w:tcPr>
            <w:tcW w:type="dxa" w:w="3168"/>
            <w:shd w:val="clear" w:color="auto" w:fill="1F4E79"/>
          </w:tcPr>
          <w:p>
            <w:r>
              <w:rPr>
                <w:b/>
                <w:color w:val="FFFFFF"/>
              </w:rPr>
            </w:r>
            <w:r>
              <w:rPr>
                <w:rFonts w:ascii="Times New Roman" w:hAnsi="Times New Roman" w:eastAsia="Times New Roman"/>
                <w:b/>
                <w:color w:val="FFFFFF"/>
                <w:sz w:val="20"/>
              </w:rPr>
              <w:t>Rule</w:t>
            </w:r>
          </w:p>
        </w:tc>
        <w:tc>
          <w:tcPr>
            <w:tcW w:type="dxa" w:w="2592"/>
            <w:shd w:val="clear" w:color="auto" w:fill="1F4E79"/>
          </w:tcPr>
          <w:p>
            <w:r>
              <w:rPr>
                <w:b/>
                <w:color w:val="FFFFFF"/>
              </w:rPr>
            </w:r>
            <w:r>
              <w:rPr>
                <w:rFonts w:ascii="Times New Roman" w:hAnsi="Times New Roman" w:eastAsia="Times New Roman"/>
                <w:b/>
                <w:color w:val="FFFFFF"/>
                <w:sz w:val="20"/>
              </w:rPr>
              <w:t>Module mapping</w:t>
            </w:r>
          </w:p>
        </w:tc>
        <w:tc>
          <w:tcPr>
            <w:tcW w:type="dxa" w:w="4032"/>
            <w:shd w:val="clear" w:color="auto" w:fill="1F4E79"/>
          </w:tcPr>
          <w:p>
            <w:r>
              <w:rPr>
                <w:b/>
                <w:color w:val="FFFFFF"/>
              </w:rPr>
            </w:r>
            <w:r>
              <w:rPr>
                <w:rFonts w:ascii="Times New Roman" w:hAnsi="Times New Roman" w:eastAsia="Times New Roman"/>
                <w:b/>
                <w:color w:val="FFFFFF"/>
                <w:sz w:val="20"/>
              </w:rPr>
              <w:t>What it covers</w:t>
            </w:r>
          </w:p>
        </w:tc>
      </w:tr>
      <w:tr>
        <w:tc>
          <w:tcPr>
            <w:tcW w:type="dxa" w:w="3168"/>
          </w:tcPr>
          <w:p>
            <w:r/>
            <w:r>
              <w:rPr>
                <w:rFonts w:ascii="Times New Roman" w:hAnsi="Times New Roman" w:eastAsia="Times New Roman"/>
                <w:b w:val="0"/>
                <w:sz w:val="19"/>
              </w:rPr>
              <w:t>Rule 17(i) Part I</w:t>
            </w:r>
          </w:p>
        </w:tc>
        <w:tc>
          <w:tcPr>
            <w:tcW w:type="dxa" w:w="2592"/>
          </w:tcPr>
          <w:p>
            <w:r/>
            <w:r>
              <w:rPr>
                <w:rFonts w:ascii="Times New Roman" w:hAnsi="Times New Roman" w:eastAsia="Times New Roman"/>
                <w:b w:val="0"/>
                <w:sz w:val="19"/>
              </w:rPr>
              <w:t>Related institutional / memo filing</w:t>
            </w:r>
          </w:p>
        </w:tc>
        <w:tc>
          <w:tcPr>
            <w:tcW w:type="dxa" w:w="4032"/>
          </w:tcPr>
          <w:p>
            <w:r/>
            <w:r>
              <w:rPr>
                <w:rFonts w:ascii="Times New Roman" w:hAnsi="Times New Roman" w:eastAsia="Times New Roman"/>
                <w:b w:val="0"/>
                <w:sz w:val="19"/>
              </w:rPr>
              <w:t>Supplements to Book 1 for Secs. 64–67 memoranda</w:t>
            </w:r>
          </w:p>
        </w:tc>
      </w:tr>
      <w:tr>
        <w:tc>
          <w:tcPr>
            <w:tcW w:type="dxa" w:w="3168"/>
          </w:tcPr>
          <w:p>
            <w:r/>
            <w:r>
              <w:rPr>
                <w:rFonts w:ascii="Times New Roman" w:hAnsi="Times New Roman" w:eastAsia="Times New Roman"/>
                <w:b w:val="0"/>
                <w:sz w:val="19"/>
              </w:rPr>
              <w:t>Rule 17(i) Part II</w:t>
            </w:r>
          </w:p>
        </w:tc>
        <w:tc>
          <w:tcPr>
            <w:tcW w:type="dxa" w:w="2592"/>
          </w:tcPr>
          <w:p>
            <w:r/>
            <w:r>
              <w:rPr>
                <w:rFonts w:ascii="Times New Roman" w:hAnsi="Times New Roman" w:eastAsia="Times New Roman"/>
                <w:b w:val="0"/>
                <w:sz w:val="19"/>
              </w:rPr>
              <w:t>Related</w:t>
            </w:r>
          </w:p>
        </w:tc>
        <w:tc>
          <w:tcPr>
            <w:tcW w:type="dxa" w:w="4032"/>
          </w:tcPr>
          <w:p>
            <w:r/>
            <w:r>
              <w:rPr>
                <w:rFonts w:ascii="Times New Roman" w:hAnsi="Times New Roman" w:eastAsia="Times New Roman"/>
                <w:b w:val="0"/>
                <w:sz w:val="19"/>
              </w:rPr>
              <w:t>Copies of maps/plans (Sec. 21)</w:t>
            </w:r>
          </w:p>
        </w:tc>
      </w:tr>
      <w:tr>
        <w:tc>
          <w:tcPr>
            <w:tcW w:type="dxa" w:w="3168"/>
          </w:tcPr>
          <w:p>
            <w:r/>
            <w:r>
              <w:rPr>
                <w:rFonts w:ascii="Times New Roman" w:hAnsi="Times New Roman" w:eastAsia="Times New Roman"/>
                <w:b w:val="0"/>
                <w:sz w:val="19"/>
              </w:rPr>
              <w:t>Rule 17(i) Part III</w:t>
            </w:r>
          </w:p>
        </w:tc>
        <w:tc>
          <w:tcPr>
            <w:tcW w:type="dxa" w:w="2592"/>
          </w:tcPr>
          <w:p>
            <w:r/>
            <w:r>
              <w:rPr>
                <w:rFonts w:ascii="Times New Roman" w:hAnsi="Times New Roman" w:eastAsia="Times New Roman"/>
                <w:b w:val="0"/>
                <w:sz w:val="19"/>
              </w:rPr>
              <w:t>Institutional filing</w:t>
            </w:r>
          </w:p>
        </w:tc>
        <w:tc>
          <w:tcPr>
            <w:tcW w:type="dxa" w:w="4032"/>
          </w:tcPr>
          <w:p>
            <w:r/>
            <w:r>
              <w:rPr>
                <w:rFonts w:ascii="Times New Roman" w:hAnsi="Times New Roman" w:eastAsia="Times New Roman"/>
                <w:b w:val="0"/>
                <w:sz w:val="19"/>
              </w:rPr>
              <w:t>(a) Court / Revenue sale certificates; (b) Land Acquisition statements from DC</w:t>
            </w:r>
          </w:p>
        </w:tc>
      </w:tr>
      <w:tr>
        <w:tc>
          <w:tcPr>
            <w:tcW w:type="dxa" w:w="3168"/>
          </w:tcPr>
          <w:p>
            <w:r/>
            <w:r>
              <w:rPr>
                <w:rFonts w:ascii="Times New Roman" w:hAnsi="Times New Roman" w:eastAsia="Times New Roman"/>
                <w:b w:val="0"/>
                <w:sz w:val="19"/>
              </w:rPr>
              <w:t>Rule 17(i) Part IV</w:t>
            </w:r>
          </w:p>
        </w:tc>
        <w:tc>
          <w:tcPr>
            <w:tcW w:type="dxa" w:w="2592"/>
          </w:tcPr>
          <w:p>
            <w:r/>
            <w:r>
              <w:rPr>
                <w:rFonts w:ascii="Times New Roman" w:hAnsi="Times New Roman" w:eastAsia="Times New Roman"/>
                <w:b w:val="0"/>
                <w:sz w:val="19"/>
              </w:rPr>
              <w:t>Institutional / revenue filing</w:t>
            </w:r>
          </w:p>
        </w:tc>
        <w:tc>
          <w:tcPr>
            <w:tcW w:type="dxa" w:w="4032"/>
          </w:tcPr>
          <w:p>
            <w:r/>
            <w:r>
              <w:rPr>
                <w:rFonts w:ascii="Times New Roman" w:hAnsi="Times New Roman" w:eastAsia="Times New Roman"/>
                <w:b w:val="0"/>
                <w:sz w:val="19"/>
              </w:rPr>
              <w:t>Copies of instruments and collateral securities under Karnataka Land Improvement Loans Act, 1963 and Karnataka Agriculturists Loans Act, 1963, received from Revenue officers</w:t>
            </w:r>
          </w:p>
        </w:tc>
      </w:tr>
      <w:tr>
        <w:tc>
          <w:tcPr>
            <w:tcW w:type="dxa" w:w="3168"/>
          </w:tcPr>
          <w:p>
            <w:r/>
            <w:r>
              <w:rPr>
                <w:rFonts w:ascii="Times New Roman" w:hAnsi="Times New Roman" w:eastAsia="Times New Roman"/>
                <w:b w:val="0"/>
                <w:sz w:val="19"/>
              </w:rPr>
              <w:t>Rule 17(i) Part V</w:t>
            </w:r>
          </w:p>
        </w:tc>
        <w:tc>
          <w:tcPr>
            <w:tcW w:type="dxa" w:w="2592"/>
          </w:tcPr>
          <w:p>
            <w:r/>
            <w:r>
              <w:rPr>
                <w:rFonts w:ascii="Times New Roman" w:hAnsi="Times New Roman" w:eastAsia="Times New Roman"/>
                <w:b w:val="0"/>
                <w:sz w:val="19"/>
              </w:rPr>
              <w:t>Institutional / bank filing</w:t>
            </w:r>
          </w:p>
        </w:tc>
        <w:tc>
          <w:tcPr>
            <w:tcW w:type="dxa" w:w="4032"/>
          </w:tcPr>
          <w:p>
            <w:r/>
            <w:r>
              <w:rPr>
                <w:rFonts w:ascii="Times New Roman" w:hAnsi="Times New Roman" w:eastAsia="Times New Roman"/>
                <w:b w:val="0"/>
                <w:sz w:val="19"/>
              </w:rPr>
              <w:t>Copies of instruments received from Land Development Banks under Sec. 85-A of the Karnataka Co-operative Societies Act, 1959</w:t>
            </w:r>
          </w:p>
        </w:tc>
      </w:tr>
      <w:tr>
        <w:tc>
          <w:tcPr>
            <w:tcW w:type="dxa" w:w="3168"/>
          </w:tcPr>
          <w:p>
            <w:r/>
            <w:r>
              <w:rPr>
                <w:rFonts w:ascii="Times New Roman" w:hAnsi="Times New Roman" w:eastAsia="Times New Roman"/>
                <w:b w:val="0"/>
                <w:sz w:val="19"/>
              </w:rPr>
              <w:t>Rule 17(i) Part VI</w:t>
            </w:r>
          </w:p>
        </w:tc>
        <w:tc>
          <w:tcPr>
            <w:tcW w:type="dxa" w:w="2592"/>
          </w:tcPr>
          <w:p>
            <w:r/>
            <w:r>
              <w:rPr>
                <w:rFonts w:ascii="Times New Roman" w:hAnsi="Times New Roman" w:eastAsia="Times New Roman"/>
                <w:b w:val="0"/>
                <w:sz w:val="19"/>
              </w:rPr>
              <w:t>Institutional filing</w:t>
            </w:r>
          </w:p>
        </w:tc>
        <w:tc>
          <w:tcPr>
            <w:tcW w:type="dxa" w:w="4032"/>
          </w:tcPr>
          <w:p>
            <w:r/>
            <w:r>
              <w:rPr>
                <w:rFonts w:ascii="Times New Roman" w:hAnsi="Times New Roman" w:eastAsia="Times New Roman"/>
                <w:b w:val="0"/>
                <w:sz w:val="19"/>
              </w:rPr>
              <w:t>Court Charge Creation</w:t>
            </w:r>
          </w:p>
        </w:tc>
      </w:tr>
      <w:tr>
        <w:tc>
          <w:tcPr>
            <w:tcW w:type="dxa" w:w="3168"/>
          </w:tcPr>
          <w:p>
            <w:r/>
            <w:r>
              <w:rPr>
                <w:rFonts w:ascii="Times New Roman" w:hAnsi="Times New Roman" w:eastAsia="Times New Roman"/>
                <w:b w:val="0"/>
                <w:sz w:val="19"/>
              </w:rPr>
              <w:t>Rule 17(ii) = modules Rule 17(2) (#6)</w:t>
            </w:r>
          </w:p>
        </w:tc>
        <w:tc>
          <w:tcPr>
            <w:tcW w:type="dxa" w:w="2592"/>
          </w:tcPr>
          <w:p>
            <w:r/>
            <w:r>
              <w:rPr>
                <w:rFonts w:ascii="Times New Roman" w:hAnsi="Times New Roman" w:eastAsia="Times New Roman"/>
                <w:b w:val="0"/>
                <w:sz w:val="19"/>
              </w:rPr>
              <w:t>Rule 17(2) filing</w:t>
            </w:r>
          </w:p>
        </w:tc>
        <w:tc>
          <w:tcPr>
            <w:tcW w:type="dxa" w:w="4032"/>
          </w:tcPr>
          <w:p>
            <w:r/>
            <w:r>
              <w:rPr>
                <w:rFonts w:ascii="Times New Roman" w:hAnsi="Times New Roman" w:eastAsia="Times New Roman"/>
                <w:b w:val="0"/>
                <w:sz w:val="19"/>
              </w:rPr>
              <w:t>Separate file for copies and translations (Secs. 19, 62 / Rule 12(1)); cross-reference to register entry</w:t>
            </w:r>
          </w:p>
        </w:tc>
      </w:tr>
      <w:tr>
        <w:tc>
          <w:tcPr>
            <w:tcW w:type="dxa" w:w="3168"/>
          </w:tcPr>
          <w:p>
            <w:r/>
            <w:r>
              <w:rPr>
                <w:rFonts w:ascii="Times New Roman" w:hAnsi="Times New Roman" w:eastAsia="Times New Roman"/>
                <w:b w:val="0"/>
                <w:sz w:val="19"/>
              </w:rPr>
              <w:t>Rule 17(iii) = modules Rule 17(3) (#7)</w:t>
            </w:r>
          </w:p>
        </w:tc>
        <w:tc>
          <w:tcPr>
            <w:tcW w:type="dxa" w:w="2592"/>
          </w:tcPr>
          <w:p>
            <w:r/>
            <w:r>
              <w:rPr>
                <w:rFonts w:ascii="Times New Roman" w:hAnsi="Times New Roman" w:eastAsia="Times New Roman"/>
                <w:b w:val="0"/>
                <w:sz w:val="19"/>
              </w:rPr>
              <w:t>Rule 17(3) filing</w:t>
            </w:r>
          </w:p>
        </w:tc>
        <w:tc>
          <w:tcPr>
            <w:tcW w:type="dxa" w:w="4032"/>
          </w:tcPr>
          <w:p>
            <w:r/>
            <w:r>
              <w:rPr>
                <w:rFonts w:ascii="Times New Roman" w:hAnsi="Times New Roman" w:eastAsia="Times New Roman"/>
                <w:b w:val="0"/>
                <w:sz w:val="19"/>
              </w:rPr>
              <w:t>Separate file for communications on cancellation / modification / rectification of previously filed or registered papers</w:t>
            </w:r>
          </w:p>
        </w:tc>
      </w:tr>
    </w:tbl>
    <w:p/>
    <w:p>
      <w:pPr>
        <w:spacing w:after="120" w:before="160"/>
      </w:pPr>
      <w:r>
        <w:rPr>
          <w:rFonts w:ascii="Segoe UI" w:hAnsi="Segoe UI" w:eastAsia="Segoe UI"/>
          <w:b/>
          <w:color w:val="2F5496"/>
          <w:sz w:val="25"/>
        </w:rPr>
        <w:t>B. Old pending release (#8)</w:t>
      </w:r>
    </w:p>
    <w:tbl>
      <w:tblPr>
        <w:tblStyle w:val="TableGrid"/>
        <w:tblW w:type="auto" w:w="0"/>
        <w:tblLook w:firstColumn="1" w:firstRow="1" w:lastColumn="0" w:lastRow="0" w:noHBand="0" w:noVBand="1" w:val="04A0"/>
      </w:tblPr>
      <w:tblGrid>
        <w:gridCol w:w="5040"/>
        <w:gridCol w:w="5040"/>
      </w:tblGrid>
      <w:tr>
        <w:tc>
          <w:tcPr>
            <w:tcW w:type="dxa" w:w="3168"/>
            <w:shd w:val="clear" w:color="auto" w:fill="1F4E79"/>
          </w:tcPr>
          <w:p>
            <w:r>
              <w:rPr>
                <w:b/>
                <w:color w:val="FFFFFF"/>
              </w:rPr>
            </w:r>
            <w:r>
              <w:rPr>
                <w:rFonts w:ascii="Times New Roman" w:hAnsi="Times New Roman" w:eastAsia="Times New Roman"/>
                <w:b/>
                <w:color w:val="FFFFFF"/>
                <w:sz w:val="20"/>
              </w:rPr>
              <w:t>Rule</w:t>
            </w:r>
          </w:p>
        </w:tc>
        <w:tc>
          <w:tcPr>
            <w:tcW w:type="dxa" w:w="6624"/>
            <w:shd w:val="clear" w:color="auto" w:fill="1F4E79"/>
          </w:tcPr>
          <w:p>
            <w:r>
              <w:rPr>
                <w:b/>
                <w:color w:val="FFFFFF"/>
              </w:rPr>
            </w:r>
            <w:r>
              <w:rPr>
                <w:rFonts w:ascii="Times New Roman" w:hAnsi="Times New Roman" w:eastAsia="Times New Roman"/>
                <w:b/>
                <w:color w:val="FFFFFF"/>
                <w:sz w:val="20"/>
              </w:rPr>
              <w:t>Relevance</w:t>
            </w:r>
          </w:p>
        </w:tc>
      </w:tr>
      <w:tr>
        <w:tc>
          <w:tcPr>
            <w:tcW w:type="dxa" w:w="3168"/>
          </w:tcPr>
          <w:p>
            <w:r/>
            <w:r>
              <w:rPr>
                <w:rFonts w:ascii="Times New Roman" w:hAnsi="Times New Roman" w:eastAsia="Times New Roman"/>
                <w:b w:val="0"/>
                <w:sz w:val="19"/>
              </w:rPr>
              <w:t>Rule 23</w:t>
            </w:r>
          </w:p>
        </w:tc>
        <w:tc>
          <w:tcPr>
            <w:tcW w:type="dxa" w:w="6624"/>
          </w:tcPr>
          <w:p>
            <w:r/>
            <w:r>
              <w:rPr>
                <w:rFonts w:ascii="Times New Roman" w:hAnsi="Times New Roman" w:eastAsia="Times New Roman"/>
                <w:b w:val="0"/>
                <w:sz w:val="19"/>
              </w:rPr>
              <w:t>Minute Book — note suspension, refusal, summons, withdrawal, stamp impound, out-of-hours receipt</w:t>
            </w:r>
          </w:p>
        </w:tc>
      </w:tr>
      <w:tr>
        <w:tc>
          <w:tcPr>
            <w:tcW w:type="dxa" w:w="3168"/>
          </w:tcPr>
          <w:p>
            <w:r/>
            <w:r>
              <w:rPr>
                <w:rFonts w:ascii="Times New Roman" w:hAnsi="Times New Roman" w:eastAsia="Times New Roman"/>
                <w:b w:val="0"/>
                <w:sz w:val="19"/>
              </w:rPr>
              <w:t>Rule 24 + Forms 9, 10, 11</w:t>
            </w:r>
          </w:p>
        </w:tc>
        <w:tc>
          <w:tcPr>
            <w:tcW w:type="dxa" w:w="6624"/>
          </w:tcPr>
          <w:p>
            <w:r/>
            <w:r>
              <w:rPr>
                <w:rFonts w:ascii="Times New Roman" w:hAnsi="Times New Roman" w:eastAsia="Times New Roman"/>
                <w:b w:val="0"/>
                <w:sz w:val="19"/>
              </w:rPr>
              <w:t>Daily Register; registers of impounded, unclaimed, and deficient fee/stamp documents</w:t>
            </w:r>
          </w:p>
        </w:tc>
      </w:tr>
      <w:tr>
        <w:tc>
          <w:tcPr>
            <w:tcW w:type="dxa" w:w="3168"/>
          </w:tcPr>
          <w:p>
            <w:r/>
            <w:r>
              <w:rPr>
                <w:rFonts w:ascii="Times New Roman" w:hAnsi="Times New Roman" w:eastAsia="Times New Roman"/>
                <w:b w:val="0"/>
                <w:sz w:val="19"/>
              </w:rPr>
              <w:t>Rules 46, 51–55</w:t>
            </w:r>
          </w:p>
        </w:tc>
        <w:tc>
          <w:tcPr>
            <w:tcW w:type="dxa" w:w="6624"/>
          </w:tcPr>
          <w:p>
            <w:r/>
            <w:r>
              <w:rPr>
                <w:rFonts w:ascii="Times New Roman" w:hAnsi="Times New Roman" w:eastAsia="Times New Roman"/>
                <w:b w:val="0"/>
                <w:sz w:val="19"/>
              </w:rPr>
              <w:t>Suspension for delay fine or stamp impounding; fine rates; condonation of delay</w:t>
            </w:r>
          </w:p>
        </w:tc>
      </w:tr>
      <w:tr>
        <w:tc>
          <w:tcPr>
            <w:tcW w:type="dxa" w:w="3168"/>
          </w:tcPr>
          <w:p>
            <w:r/>
            <w:r>
              <w:rPr>
                <w:rFonts w:ascii="Times New Roman" w:hAnsi="Times New Roman" w:eastAsia="Times New Roman"/>
                <w:b w:val="0"/>
                <w:sz w:val="19"/>
              </w:rPr>
              <w:t>Rules 110–118</w:t>
            </w:r>
          </w:p>
        </w:tc>
        <w:tc>
          <w:tcPr>
            <w:tcW w:type="dxa" w:w="6624"/>
          </w:tcPr>
          <w:p>
            <w:r/>
            <w:r>
              <w:rPr>
                <w:rFonts w:ascii="Times New Roman" w:hAnsi="Times New Roman" w:eastAsia="Times New Roman"/>
                <w:b w:val="0"/>
                <w:sz w:val="19"/>
              </w:rPr>
              <w:t>Receipts; return of registered document; loss of receipt; objection to return; registration after stamp adjudication → release / collection</w:t>
            </w:r>
          </w:p>
        </w:tc>
      </w:tr>
      <w:tr>
        <w:tc>
          <w:tcPr>
            <w:tcW w:type="dxa" w:w="3168"/>
          </w:tcPr>
          <w:p>
            <w:r/>
            <w:r>
              <w:rPr>
                <w:rFonts w:ascii="Times New Roman" w:hAnsi="Times New Roman" w:eastAsia="Times New Roman"/>
                <w:b w:val="0"/>
                <w:sz w:val="19"/>
              </w:rPr>
              <w:t>Rule 116</w:t>
            </w:r>
          </w:p>
        </w:tc>
        <w:tc>
          <w:tcPr>
            <w:tcW w:type="dxa" w:w="6624"/>
          </w:tcPr>
          <w:p>
            <w:r/>
            <w:r>
              <w:rPr>
                <w:rFonts w:ascii="Times New Roman" w:hAnsi="Times New Roman" w:eastAsia="Times New Roman"/>
                <w:b w:val="0"/>
                <w:sz w:val="19"/>
              </w:rPr>
              <w:t>Registration of impounded document after stamp adjudication</w:t>
            </w:r>
          </w:p>
        </w:tc>
      </w:tr>
    </w:tbl>
    <w:p/>
    <w:p>
      <w:pPr>
        <w:spacing w:after="120" w:before="160"/>
      </w:pPr>
      <w:r>
        <w:rPr>
          <w:rFonts w:ascii="Segoe UI" w:hAnsi="Segoe UI" w:eastAsia="Segoe UI"/>
          <w:b/>
          <w:color w:val="2F5496"/>
          <w:sz w:val="25"/>
        </w:rPr>
        <w:t>C. Govt / Institutional e-filing</w:t>
      </w:r>
    </w:p>
    <w:tbl>
      <w:tblPr>
        <w:tblStyle w:val="TableGrid"/>
        <w:tblW w:type="auto" w:w="0"/>
        <w:tblLook w:firstColumn="1" w:firstRow="1" w:lastColumn="0" w:lastRow="0" w:noHBand="0" w:noVBand="1" w:val="04A0"/>
      </w:tblPr>
      <w:tblGrid>
        <w:gridCol w:w="5040"/>
        <w:gridCol w:w="5040"/>
      </w:tblGrid>
      <w:tr>
        <w:tc>
          <w:tcPr>
            <w:tcW w:type="dxa" w:w="2592"/>
            <w:shd w:val="clear" w:color="auto" w:fill="1F4E79"/>
          </w:tcPr>
          <w:p>
            <w:r>
              <w:rPr>
                <w:b/>
                <w:color w:val="FFFFFF"/>
              </w:rPr>
            </w:r>
            <w:r>
              <w:rPr>
                <w:rFonts w:ascii="Times New Roman" w:hAnsi="Times New Roman" w:eastAsia="Times New Roman"/>
                <w:b/>
                <w:color w:val="FFFFFF"/>
                <w:sz w:val="20"/>
              </w:rPr>
              <w:t>Rule</w:t>
            </w:r>
          </w:p>
        </w:tc>
        <w:tc>
          <w:tcPr>
            <w:tcW w:type="dxa" w:w="7200"/>
            <w:shd w:val="clear" w:color="auto" w:fill="1F4E79"/>
          </w:tcPr>
          <w:p>
            <w:r>
              <w:rPr>
                <w:b/>
                <w:color w:val="FFFFFF"/>
              </w:rPr>
            </w:r>
            <w:r>
              <w:rPr>
                <w:rFonts w:ascii="Times New Roman" w:hAnsi="Times New Roman" w:eastAsia="Times New Roman"/>
                <w:b/>
                <w:color w:val="FFFFFF"/>
                <w:sz w:val="20"/>
              </w:rPr>
              <w:t>Relevance</w:t>
            </w:r>
          </w:p>
        </w:tc>
      </w:tr>
      <w:tr>
        <w:tc>
          <w:tcPr>
            <w:tcW w:type="dxa" w:w="2592"/>
          </w:tcPr>
          <w:p>
            <w:r/>
            <w:r>
              <w:rPr>
                <w:rFonts w:ascii="Times New Roman" w:hAnsi="Times New Roman" w:eastAsia="Times New Roman"/>
                <w:b w:val="0"/>
                <w:sz w:val="19"/>
              </w:rPr>
              <w:t>Rule 40(i)</w:t>
            </w:r>
          </w:p>
        </w:tc>
        <w:tc>
          <w:tcPr>
            <w:tcW w:type="dxa" w:w="7200"/>
          </w:tcPr>
          <w:p>
            <w:r/>
            <w:r>
              <w:rPr>
                <w:rFonts w:ascii="Times New Roman" w:hAnsi="Times New Roman" w:eastAsia="Times New Roman"/>
                <w:b w:val="0"/>
                <w:sz w:val="19"/>
              </w:rPr>
              <w:t>Normal docs presented in person — except documents forwarded under Sec. 89</w:t>
            </w:r>
          </w:p>
        </w:tc>
      </w:tr>
      <w:tr>
        <w:tc>
          <w:tcPr>
            <w:tcW w:type="dxa" w:w="2592"/>
          </w:tcPr>
          <w:p>
            <w:r/>
            <w:r>
              <w:rPr>
                <w:rFonts w:ascii="Times New Roman" w:hAnsi="Times New Roman" w:eastAsia="Times New Roman"/>
                <w:b w:val="0"/>
                <w:sz w:val="19"/>
              </w:rPr>
              <w:t>Rule 40(ii)</w:t>
            </w:r>
          </w:p>
        </w:tc>
        <w:tc>
          <w:tcPr>
            <w:tcW w:type="dxa" w:w="7200"/>
          </w:tcPr>
          <w:p>
            <w:r/>
            <w:r>
              <w:rPr>
                <w:rFonts w:ascii="Times New Roman" w:hAnsi="Times New Roman" w:eastAsia="Times New Roman"/>
                <w:b w:val="0"/>
                <w:sz w:val="19"/>
              </w:rPr>
              <w:t>Doc under Sec. 88(2) may be presented through a messenger with covering letter of Govt officer / public functionary</w:t>
            </w:r>
          </w:p>
        </w:tc>
      </w:tr>
      <w:tr>
        <w:tc>
          <w:tcPr>
            <w:tcW w:type="dxa" w:w="2592"/>
          </w:tcPr>
          <w:p>
            <w:r/>
            <w:r>
              <w:rPr>
                <w:rFonts w:ascii="Times New Roman" w:hAnsi="Times New Roman" w:eastAsia="Times New Roman"/>
                <w:b w:val="0"/>
                <w:sz w:val="19"/>
              </w:rPr>
              <w:t>Rule 40(iii)</w:t>
            </w:r>
          </w:p>
        </w:tc>
        <w:tc>
          <w:tcPr>
            <w:tcW w:type="dxa" w:w="7200"/>
          </w:tcPr>
          <w:p>
            <w:r/>
            <w:r>
              <w:rPr>
                <w:rFonts w:ascii="Times New Roman" w:hAnsi="Times New Roman" w:eastAsia="Times New Roman"/>
                <w:b w:val="0"/>
                <w:sz w:val="19"/>
              </w:rPr>
              <w:t>Not accepted by post, except as otherwise provided in law</w:t>
            </w:r>
          </w:p>
        </w:tc>
      </w:tr>
      <w:tr>
        <w:tc>
          <w:tcPr>
            <w:tcW w:type="dxa" w:w="2592"/>
          </w:tcPr>
          <w:p>
            <w:r/>
            <w:r>
              <w:rPr>
                <w:rFonts w:ascii="Times New Roman" w:hAnsi="Times New Roman" w:eastAsia="Times New Roman"/>
                <w:b w:val="0"/>
                <w:sz w:val="19"/>
              </w:rPr>
              <w:t>Rule 41–45</w:t>
            </w:r>
          </w:p>
        </w:tc>
        <w:tc>
          <w:tcPr>
            <w:tcW w:type="dxa" w:w="7200"/>
          </w:tcPr>
          <w:p>
            <w:r/>
            <w:r>
              <w:rPr>
                <w:rFonts w:ascii="Times New Roman" w:hAnsi="Times New Roman" w:eastAsia="Times New Roman"/>
                <w:b w:val="0"/>
                <w:sz w:val="19"/>
              </w:rPr>
              <w:t>Examination, defects, presentation endorsement (also applies after institutional intake)</w:t>
            </w:r>
          </w:p>
        </w:tc>
      </w:tr>
      <w:tr>
        <w:tc>
          <w:tcPr>
            <w:tcW w:type="dxa" w:w="2592"/>
          </w:tcPr>
          <w:p>
            <w:r/>
            <w:r>
              <w:rPr>
                <w:rFonts w:ascii="Times New Roman" w:hAnsi="Times New Roman" w:eastAsia="Times New Roman"/>
                <w:b w:val="0"/>
                <w:sz w:val="19"/>
              </w:rPr>
              <w:t>Rule 12</w:t>
            </w:r>
          </w:p>
        </w:tc>
        <w:tc>
          <w:tcPr>
            <w:tcW w:type="dxa" w:w="7200"/>
          </w:tcPr>
          <w:p>
            <w:r/>
            <w:r>
              <w:rPr>
                <w:rFonts w:ascii="Times New Roman" w:hAnsi="Times New Roman" w:eastAsia="Times New Roman"/>
                <w:b w:val="0"/>
                <w:sz w:val="19"/>
              </w:rPr>
              <w:t>Filing of copies/translations (links to Rule 17(ii))</w:t>
            </w:r>
          </w:p>
        </w:tc>
      </w:tr>
    </w:tbl>
    <w:p/>
    <w:p>
      <w:pPr>
        <w:spacing w:after="120" w:before="280"/>
      </w:pPr>
      <w:r>
        <w:rPr>
          <w:rFonts w:ascii="Segoe UI" w:hAnsi="Segoe UI" w:eastAsia="Segoe UI"/>
          <w:b/>
          <w:color w:val="2E75B6"/>
          <w:sz w:val="28"/>
        </w:rPr>
        <w:t>5.3 Notifications / amendments</w:t>
      </w:r>
    </w:p>
    <w:tbl>
      <w:tblPr>
        <w:tblStyle w:val="TableGrid"/>
        <w:tblW w:type="auto" w:w="0"/>
        <w:tblLook w:firstColumn="1" w:firstRow="1" w:lastColumn="0" w:lastRow="0" w:noHBand="0" w:noVBand="1" w:val="04A0"/>
      </w:tblPr>
      <w:tblGrid>
        <w:gridCol w:w="5040"/>
        <w:gridCol w:w="5040"/>
      </w:tblGrid>
      <w:tr>
        <w:tc>
          <w:tcPr>
            <w:tcW w:type="dxa" w:w="4320"/>
            <w:shd w:val="clear" w:color="auto" w:fill="1F4E79"/>
          </w:tcPr>
          <w:p>
            <w:r>
              <w:rPr>
                <w:b/>
                <w:color w:val="FFFFFF"/>
              </w:rPr>
            </w:r>
            <w:r>
              <w:rPr>
                <w:rFonts w:ascii="Times New Roman" w:hAnsi="Times New Roman" w:eastAsia="Times New Roman"/>
                <w:b/>
                <w:color w:val="FFFFFF"/>
                <w:sz w:val="20"/>
              </w:rPr>
              <w:t>Notification</w:t>
            </w:r>
          </w:p>
        </w:tc>
        <w:tc>
          <w:tcPr>
            <w:tcW w:type="dxa" w:w="5472"/>
            <w:shd w:val="clear" w:color="auto" w:fill="1F4E79"/>
          </w:tcPr>
          <w:p>
            <w:r>
              <w:rPr>
                <w:b/>
                <w:color w:val="FFFFFF"/>
              </w:rPr>
            </w:r>
            <w:r>
              <w:rPr>
                <w:rFonts w:ascii="Times New Roman" w:hAnsi="Times New Roman" w:eastAsia="Times New Roman"/>
                <w:b/>
                <w:color w:val="FFFFFF"/>
                <w:sz w:val="20"/>
              </w:rPr>
              <w:t>Effect for this topic</w:t>
            </w:r>
          </w:p>
        </w:tc>
      </w:tr>
      <w:tr>
        <w:tc>
          <w:tcPr>
            <w:tcW w:type="dxa" w:w="4320"/>
          </w:tcPr>
          <w:p>
            <w:r/>
            <w:r>
              <w:rPr>
                <w:rFonts w:ascii="Times New Roman" w:hAnsi="Times New Roman" w:eastAsia="Times New Roman"/>
                <w:b w:val="0"/>
                <w:sz w:val="19"/>
              </w:rPr>
              <w:t>Karnataka Registration Rules, 1965 (under Registration Act Sec. 69)</w:t>
            </w:r>
          </w:p>
        </w:tc>
        <w:tc>
          <w:tcPr>
            <w:tcW w:type="dxa" w:w="5472"/>
          </w:tcPr>
          <w:p>
            <w:r/>
            <w:r>
              <w:rPr>
                <w:rFonts w:ascii="Times New Roman" w:hAnsi="Times New Roman" w:eastAsia="Times New Roman"/>
                <w:b w:val="0"/>
                <w:sz w:val="19"/>
              </w:rPr>
              <w:t>Parent instrument for Rule 17 and pending procedures</w:t>
            </w:r>
          </w:p>
        </w:tc>
      </w:tr>
      <w:tr>
        <w:tc>
          <w:tcPr>
            <w:tcW w:type="dxa" w:w="4320"/>
          </w:tcPr>
          <w:p>
            <w:r/>
            <w:r>
              <w:rPr>
                <w:rFonts w:ascii="Times New Roman" w:hAnsi="Times New Roman" w:eastAsia="Times New Roman"/>
                <w:b w:val="0"/>
                <w:sz w:val="19"/>
              </w:rPr>
              <w:t>RGN 2/2002-03 (1 Apr 2002; w.e.f. 4 Apr 2002)</w:t>
            </w:r>
          </w:p>
        </w:tc>
        <w:tc>
          <w:tcPr>
            <w:tcW w:type="dxa" w:w="5472"/>
          </w:tcPr>
          <w:p>
            <w:r/>
            <w:r>
              <w:rPr>
                <w:rFonts w:ascii="Times New Roman" w:hAnsi="Times New Roman" w:eastAsia="Times New Roman"/>
                <w:b w:val="0"/>
                <w:sz w:val="19"/>
              </w:rPr>
              <w:t>Rule 19-A document sheets; Rules 22-A–22-C; Rule 40 photograph / digital photo — applies when institutional filings are registered/endorsed</w:t>
            </w:r>
          </w:p>
        </w:tc>
      </w:tr>
      <w:tr>
        <w:tc>
          <w:tcPr>
            <w:tcW w:type="dxa" w:w="4320"/>
          </w:tcPr>
          <w:p>
            <w:r/>
            <w:r>
              <w:rPr>
                <w:rFonts w:ascii="Times New Roman" w:hAnsi="Times New Roman" w:eastAsia="Times New Roman"/>
                <w:b w:val="0"/>
                <w:sz w:val="19"/>
              </w:rPr>
              <w:t>RGN/287/02-03 (29 Mar 2003)</w:t>
            </w:r>
          </w:p>
        </w:tc>
        <w:tc>
          <w:tcPr>
            <w:tcW w:type="dxa" w:w="5472"/>
          </w:tcPr>
          <w:p>
            <w:r/>
            <w:r>
              <w:rPr>
                <w:rFonts w:ascii="Times New Roman" w:hAnsi="Times New Roman" w:eastAsia="Times New Roman"/>
                <w:b w:val="0"/>
                <w:sz w:val="19"/>
              </w:rPr>
              <w:t>Document sheet specifications</w:t>
            </w:r>
          </w:p>
        </w:tc>
      </w:tr>
      <w:tr>
        <w:tc>
          <w:tcPr>
            <w:tcW w:type="dxa" w:w="4320"/>
          </w:tcPr>
          <w:p>
            <w:r/>
            <w:r>
              <w:rPr>
                <w:rFonts w:ascii="Times New Roman" w:hAnsi="Times New Roman" w:eastAsia="Times New Roman"/>
                <w:b w:val="0"/>
                <w:sz w:val="19"/>
              </w:rPr>
              <w:t>Karnataka Registration (Amendment) Rules, 1971 (and later GSRs)</w:t>
            </w:r>
          </w:p>
        </w:tc>
        <w:tc>
          <w:tcPr>
            <w:tcW w:type="dxa" w:w="5472"/>
          </w:tcPr>
          <w:p>
            <w:r/>
            <w:r>
              <w:rPr>
                <w:rFonts w:ascii="Times New Roman" w:hAnsi="Times New Roman" w:eastAsia="Times New Roman"/>
                <w:b w:val="0"/>
                <w:sz w:val="19"/>
              </w:rPr>
              <w:t>Amendments to Rule 17 Parts IV–V and related filing text</w:t>
            </w:r>
          </w:p>
        </w:tc>
      </w:tr>
      <w:tr>
        <w:tc>
          <w:tcPr>
            <w:tcW w:type="dxa" w:w="4320"/>
          </w:tcPr>
          <w:p>
            <w:r/>
            <w:r>
              <w:rPr>
                <w:rFonts w:ascii="Times New Roman" w:hAnsi="Times New Roman" w:eastAsia="Times New Roman"/>
                <w:b w:val="0"/>
                <w:sz w:val="19"/>
              </w:rPr>
              <w:t>Stamp / fee notifications (e.g. RD/46/MNMU/2025)</w:t>
            </w:r>
          </w:p>
        </w:tc>
        <w:tc>
          <w:tcPr>
            <w:tcW w:type="dxa" w:w="5472"/>
          </w:tcPr>
          <w:p>
            <w:r/>
            <w:r>
              <w:rPr>
                <w:rFonts w:ascii="Times New Roman" w:hAnsi="Times New Roman" w:eastAsia="Times New Roman"/>
                <w:b w:val="0"/>
                <w:sz w:val="19"/>
              </w:rPr>
              <w:t>Fee columns on pending-release screens; not the filing authority itself</w:t>
            </w:r>
          </w:p>
        </w:tc>
      </w:tr>
      <w:tr>
        <w:tc>
          <w:tcPr>
            <w:tcW w:type="dxa" w:w="4320"/>
          </w:tcPr>
          <w:p>
            <w:r/>
            <w:r>
              <w:rPr>
                <w:rFonts w:ascii="Times New Roman" w:hAnsi="Times New Roman" w:eastAsia="Times New Roman"/>
                <w:b w:val="0"/>
                <w:sz w:val="19"/>
              </w:rPr>
              <w:t>Registration (Karnataka Amendment) Act, 2023 (Act 47 of 2024)</w:t>
            </w:r>
          </w:p>
        </w:tc>
        <w:tc>
          <w:tcPr>
            <w:tcW w:type="dxa" w:w="5472"/>
          </w:tcPr>
          <w:p>
            <w:r/>
            <w:r>
              <w:rPr>
                <w:rFonts w:ascii="Times New Roman" w:hAnsi="Times New Roman" w:eastAsia="Times New Roman"/>
                <w:b w:val="0"/>
                <w:sz w:val="19"/>
              </w:rPr>
              <w:t>Secs. 22-B–22-D — refusal/cancellation can generate Rule 17(iii)-type communications</w:t>
            </w:r>
          </w:p>
        </w:tc>
      </w:tr>
    </w:tbl>
    <w:p/>
    <w:p>
      <w:pPr>
        <w:spacing w:after="120" w:before="280"/>
      </w:pPr>
      <w:r>
        <w:rPr>
          <w:rFonts w:ascii="Segoe UI" w:hAnsi="Segoe UI" w:eastAsia="Segoe UI"/>
          <w:b/>
          <w:color w:val="2E75B6"/>
          <w:sz w:val="28"/>
        </w:rPr>
        <w:t>5.4 Pain points</w:t>
      </w:r>
    </w:p>
    <w:p>
      <w:pPr>
        <w:spacing w:after="120" w:before="160"/>
      </w:pPr>
      <w:r>
        <w:rPr>
          <w:rFonts w:ascii="Segoe UI" w:hAnsi="Segoe UI" w:eastAsia="Segoe UI"/>
          <w:b/>
          <w:color w:val="2F5496"/>
          <w:sz w:val="25"/>
        </w:rPr>
        <w:t>1. Rule 17(2) / Rule 17(3) filing</w:t>
      </w:r>
    </w:p>
    <w:tbl>
      <w:tblPr>
        <w:tblStyle w:val="TableGrid"/>
        <w:tblW w:type="auto" w:w="0"/>
        <w:tblLook w:firstColumn="1" w:firstRow="1" w:lastColumn="0" w:lastRow="0" w:noHBand="0" w:noVBand="1" w:val="04A0"/>
      </w:tblPr>
      <w:tblGrid>
        <w:gridCol w:w="5040"/>
        <w:gridCol w:w="5040"/>
      </w:tblGrid>
      <w:tr>
        <w:tc>
          <w:tcPr>
            <w:tcW w:type="dxa" w:w="4032"/>
            <w:shd w:val="clear" w:color="auto" w:fill="1F4E79"/>
          </w:tcPr>
          <w:p>
            <w:r>
              <w:rPr>
                <w:b/>
                <w:color w:val="FFFFFF"/>
              </w:rPr>
            </w:r>
            <w:r>
              <w:rPr>
                <w:rFonts w:ascii="Times New Roman" w:hAnsi="Times New Roman" w:eastAsia="Times New Roman"/>
                <w:b/>
                <w:color w:val="FFFFFF"/>
                <w:sz w:val="20"/>
              </w:rPr>
              <w:t>Pain point</w:t>
            </w:r>
          </w:p>
        </w:tc>
        <w:tc>
          <w:tcPr>
            <w:tcW w:type="dxa" w:w="5760"/>
            <w:shd w:val="clear" w:color="auto" w:fill="1F4E79"/>
          </w:tcPr>
          <w:p>
            <w:r>
              <w:rPr>
                <w:b/>
                <w:color w:val="FFFFFF"/>
              </w:rPr>
            </w:r>
            <w:r>
              <w:rPr>
                <w:rFonts w:ascii="Times New Roman" w:hAnsi="Times New Roman" w:eastAsia="Times New Roman"/>
                <w:b/>
                <w:color w:val="FFFFFF"/>
                <w:sz w:val="20"/>
              </w:rPr>
              <w:t>Evidence</w:t>
            </w:r>
          </w:p>
        </w:tc>
      </w:tr>
      <w:tr>
        <w:tc>
          <w:tcPr>
            <w:tcW w:type="dxa" w:w="4032"/>
          </w:tcPr>
          <w:p>
            <w:r/>
            <w:r>
              <w:rPr>
                <w:rFonts w:ascii="Times New Roman" w:hAnsi="Times New Roman" w:eastAsia="Times New Roman"/>
                <w:b w:val="0"/>
                <w:sz w:val="19"/>
              </w:rPr>
              <w:t>Rule 17(3) filing cannot be saved</w:t>
            </w:r>
          </w:p>
        </w:tc>
        <w:tc>
          <w:tcPr>
            <w:tcW w:type="dxa" w:w="5760"/>
          </w:tcPr>
          <w:p>
            <w:r/>
            <w:r>
              <w:rPr>
                <w:rFonts w:ascii="Times New Roman" w:hAnsi="Times New Roman" w:eastAsia="Times New Roman"/>
                <w:b w:val="0"/>
                <w:sz w:val="19"/>
              </w:rPr>
              <w:t>RULE 17 (3) Not save (30558)</w:t>
            </w:r>
          </w:p>
        </w:tc>
      </w:tr>
      <w:tr>
        <w:tc>
          <w:tcPr>
            <w:tcW w:type="dxa" w:w="4032"/>
          </w:tcPr>
          <w:p>
            <w:r/>
            <w:r>
              <w:rPr>
                <w:rFonts w:ascii="Times New Roman" w:hAnsi="Times New Roman" w:eastAsia="Times New Roman"/>
                <w:b w:val="0"/>
                <w:sz w:val="19"/>
              </w:rPr>
              <w:t>Rule 17(3) endorsement sheet not generated in DEO login</w:t>
            </w:r>
          </w:p>
        </w:tc>
        <w:tc>
          <w:tcPr>
            <w:tcW w:type="dxa" w:w="5760"/>
          </w:tcPr>
          <w:p>
            <w:r/>
            <w:r>
              <w:rPr>
                <w:rFonts w:ascii="Times New Roman" w:hAnsi="Times New Roman" w:eastAsia="Times New Roman"/>
                <w:b w:val="0"/>
                <w:sz w:val="19"/>
              </w:rPr>
              <w:t>“Rule 17(3) Unable to generate endorsement sheet in the DEO login” (95069, 94894, 94647, 94312 — pending count 1)</w:t>
            </w:r>
          </w:p>
        </w:tc>
      </w:tr>
      <w:tr>
        <w:tc>
          <w:tcPr>
            <w:tcW w:type="dxa" w:w="4032"/>
          </w:tcPr>
          <w:p>
            <w:r/>
            <w:r>
              <w:rPr>
                <w:rFonts w:ascii="Times New Roman" w:hAnsi="Times New Roman" w:eastAsia="Times New Roman"/>
                <w:b w:val="0"/>
                <w:sz w:val="19"/>
              </w:rPr>
              <w:t>Rule 17(3) / null-and-void entry problems</w:t>
            </w:r>
          </w:p>
        </w:tc>
        <w:tc>
          <w:tcPr>
            <w:tcW w:type="dxa" w:w="5760"/>
          </w:tcPr>
          <w:p>
            <w:r/>
            <w:r>
              <w:rPr>
                <w:rFonts w:ascii="Times New Roman" w:hAnsi="Times New Roman" w:eastAsia="Times New Roman"/>
                <w:b w:val="0"/>
                <w:sz w:val="19"/>
              </w:rPr>
              <w:t>Document No.05436/2012-13, null and void in rule 17/3 (30223); generic Rule 17(3) (22825 P1)</w:t>
            </w:r>
          </w:p>
        </w:tc>
      </w:tr>
      <w:tr>
        <w:tc>
          <w:tcPr>
            <w:tcW w:type="dxa" w:w="4032"/>
          </w:tcPr>
          <w:p>
            <w:r/>
            <w:r>
              <w:rPr>
                <w:rFonts w:ascii="Times New Roman" w:hAnsi="Times New Roman" w:eastAsia="Times New Roman"/>
                <w:b w:val="0"/>
                <w:sz w:val="19"/>
              </w:rPr>
              <w:t>Rule 17(iii) filing not working / unclear in Kaveri 2.0</w:t>
            </w:r>
          </w:p>
        </w:tc>
        <w:tc>
          <w:tcPr>
            <w:tcW w:type="dxa" w:w="5760"/>
          </w:tcPr>
          <w:p>
            <w:r/>
            <w:r>
              <w:rPr>
                <w:rFonts w:ascii="Times New Roman" w:hAnsi="Times New Roman" w:eastAsia="Times New Roman"/>
                <w:b w:val="0"/>
                <w:sz w:val="19"/>
              </w:rPr>
              <w:t>Filing of document as per rule 17(iii) (13048)</w:t>
            </w:r>
          </w:p>
        </w:tc>
      </w:tr>
      <w:tr>
        <w:tc>
          <w:tcPr>
            <w:tcW w:type="dxa" w:w="4032"/>
          </w:tcPr>
          <w:p>
            <w:r/>
            <w:r>
              <w:rPr>
                <w:rFonts w:ascii="Times New Roman" w:hAnsi="Times New Roman" w:eastAsia="Times New Roman"/>
                <w:b w:val="0"/>
                <w:sz w:val="19"/>
              </w:rPr>
              <w:t>Rule 17 Part-VI entry</w:t>
            </w:r>
          </w:p>
        </w:tc>
        <w:tc>
          <w:tcPr>
            <w:tcW w:type="dxa" w:w="5760"/>
          </w:tcPr>
          <w:p>
            <w:r/>
            <w:r>
              <w:rPr>
                <w:rFonts w:ascii="Times New Roman" w:hAnsi="Times New Roman" w:eastAsia="Times New Roman"/>
                <w:b w:val="0"/>
                <w:sz w:val="19"/>
              </w:rPr>
              <w:t>Entry vide Rule 17 Part-VI (16176) — part not clearly supported / mapped in K2</w:t>
            </w:r>
          </w:p>
        </w:tc>
      </w:tr>
      <w:tr>
        <w:tc>
          <w:tcPr>
            <w:tcW w:type="dxa" w:w="4032"/>
          </w:tcPr>
          <w:p>
            <w:r/>
            <w:r>
              <w:rPr>
                <w:rFonts w:ascii="Times New Roman" w:hAnsi="Times New Roman" w:eastAsia="Times New Roman"/>
                <w:b w:val="0"/>
                <w:sz w:val="19"/>
              </w:rPr>
              <w:t>Rule 17 not enabled / guidance needed in Kaveri 2.0</w:t>
            </w:r>
          </w:p>
        </w:tc>
        <w:tc>
          <w:tcPr>
            <w:tcW w:type="dxa" w:w="5760"/>
          </w:tcPr>
          <w:p>
            <w:r/>
            <w:r>
              <w:rPr>
                <w:rFonts w:ascii="Times New Roman" w:hAnsi="Times New Roman" w:eastAsia="Times New Roman"/>
                <w:b w:val="0"/>
                <w:sz w:val="19"/>
              </w:rPr>
              <w:t>Request to allow operation of Rule 17 in Kaveri 2.0 per Special Collector order (16501 P1)</w:t>
            </w:r>
          </w:p>
        </w:tc>
      </w:tr>
      <w:tr>
        <w:tc>
          <w:tcPr>
            <w:tcW w:type="dxa" w:w="4032"/>
          </w:tcPr>
          <w:p>
            <w:r/>
            <w:r>
              <w:rPr>
                <w:rFonts w:ascii="Times New Roman" w:hAnsi="Times New Roman" w:eastAsia="Times New Roman"/>
                <w:b w:val="0"/>
                <w:sz w:val="19"/>
              </w:rPr>
              <w:t>Related Book-1 Part-IV institutional filing stuck at DSC</w:t>
            </w:r>
          </w:p>
        </w:tc>
        <w:tc>
          <w:tcPr>
            <w:tcW w:type="dxa" w:w="5760"/>
          </w:tcPr>
          <w:p>
            <w:r/>
            <w:r>
              <w:rPr>
                <w:rFonts w:ascii="Times New Roman" w:hAnsi="Times New Roman" w:eastAsia="Times New Roman"/>
                <w:b w:val="0"/>
                <w:sz w:val="19"/>
              </w:rPr>
              <w:t>FRUITS / Book-1 Part-IV docs unable to digital sign (28216)</w:t>
            </w:r>
          </w:p>
        </w:tc>
      </w:tr>
    </w:tbl>
    <w:p/>
    <w:p>
      <w:pPr>
        <w:spacing w:after="160" w:before="0"/>
      </w:pPr>
      <w:r>
        <w:rPr>
          <w:rFonts w:ascii="Segoe UI" w:hAnsi="Segoe UI" w:eastAsia="Segoe UI"/>
          <w:b w:val="0"/>
          <w:sz w:val="19"/>
        </w:rPr>
        <w:t>Note: Explicit Rule 17(2) tickets are scarce; most named tickets are Rule 17(3) / 17(iii). Memo filing (Secs. 64–67 / Rule 17 Part I–related) also fails often — see below.</w:t>
      </w:r>
    </w:p>
    <w:p>
      <w:pPr>
        <w:spacing w:after="120" w:before="160"/>
      </w:pPr>
      <w:r>
        <w:rPr>
          <w:rFonts w:ascii="Segoe UI" w:hAnsi="Segoe UI" w:eastAsia="Segoe UI"/>
          <w:b/>
          <w:color w:val="2F5496"/>
          <w:sz w:val="25"/>
        </w:rPr>
        <w:t>2. Old pending release module</w:t>
      </w:r>
    </w:p>
    <w:p>
      <w:pPr>
        <w:spacing w:after="80" w:before="0"/>
      </w:pPr>
      <w:r>
        <w:rPr>
          <w:rFonts w:ascii="Segoe UI" w:hAnsi="Segoe UI" w:eastAsia="Segoe UI"/>
          <w:b w:val="0"/>
          <w:sz w:val="20"/>
        </w:rPr>
        <w:t>Categorized under Pending document Registration (pending count 7).</w:t>
      </w:r>
    </w:p>
    <w:tbl>
      <w:tblPr>
        <w:tblStyle w:val="TableGrid"/>
        <w:tblW w:type="auto" w:w="0"/>
        <w:tblLook w:firstColumn="1" w:firstRow="1" w:lastColumn="0" w:lastRow="0" w:noHBand="0" w:noVBand="1" w:val="04A0"/>
      </w:tblPr>
      <w:tblGrid>
        <w:gridCol w:w="5040"/>
        <w:gridCol w:w="5040"/>
      </w:tblGrid>
      <w:tr>
        <w:tc>
          <w:tcPr>
            <w:tcW w:type="dxa" w:w="4032"/>
            <w:shd w:val="clear" w:color="auto" w:fill="1F4E79"/>
          </w:tcPr>
          <w:p>
            <w:r>
              <w:rPr>
                <w:b/>
                <w:color w:val="FFFFFF"/>
              </w:rPr>
            </w:r>
            <w:r>
              <w:rPr>
                <w:rFonts w:ascii="Times New Roman" w:hAnsi="Times New Roman" w:eastAsia="Times New Roman"/>
                <w:b/>
                <w:color w:val="FFFFFF"/>
                <w:sz w:val="20"/>
              </w:rPr>
              <w:t>Pain point</w:t>
            </w:r>
          </w:p>
        </w:tc>
        <w:tc>
          <w:tcPr>
            <w:tcW w:type="dxa" w:w="5760"/>
            <w:shd w:val="clear" w:color="auto" w:fill="1F4E79"/>
          </w:tcPr>
          <w:p>
            <w:r>
              <w:rPr>
                <w:b/>
                <w:color w:val="FFFFFF"/>
              </w:rPr>
            </w:r>
            <w:r>
              <w:rPr>
                <w:rFonts w:ascii="Times New Roman" w:hAnsi="Times New Roman" w:eastAsia="Times New Roman"/>
                <w:b/>
                <w:color w:val="FFFFFF"/>
                <w:sz w:val="20"/>
              </w:rPr>
              <w:t>Evidence</w:t>
            </w:r>
          </w:p>
        </w:tc>
      </w:tr>
      <w:tr>
        <w:tc>
          <w:tcPr>
            <w:tcW w:type="dxa" w:w="4032"/>
          </w:tcPr>
          <w:p>
            <w:r/>
            <w:r>
              <w:rPr>
                <w:rFonts w:ascii="Times New Roman" w:hAnsi="Times New Roman" w:eastAsia="Times New Roman"/>
                <w:b w:val="0"/>
                <w:sz w:val="19"/>
              </w:rPr>
              <w:t>Cannot release pending documents</w:t>
            </w:r>
          </w:p>
        </w:tc>
        <w:tc>
          <w:tcPr>
            <w:tcW w:type="dxa" w:w="5760"/>
          </w:tcPr>
          <w:p>
            <w:r/>
            <w:r>
              <w:rPr>
                <w:rFonts w:ascii="Times New Roman" w:hAnsi="Times New Roman" w:eastAsia="Times New Roman"/>
                <w:b w:val="0"/>
                <w:sz w:val="19"/>
              </w:rPr>
              <w:t>Unable to release pending document (17870, 7911, 10870, 20667, 27481, 27696, 30254…); citizen unable to release (29388)</w:t>
            </w:r>
          </w:p>
        </w:tc>
      </w:tr>
      <w:tr>
        <w:tc>
          <w:tcPr>
            <w:tcW w:type="dxa" w:w="4032"/>
          </w:tcPr>
          <w:p>
            <w:r/>
            <w:r>
              <w:rPr>
                <w:rFonts w:ascii="Times New Roman" w:hAnsi="Times New Roman" w:eastAsia="Times New Roman"/>
                <w:b w:val="0"/>
                <w:sz w:val="19"/>
              </w:rPr>
              <w:t>Cannot retrieve / import Kaveri-1 pending docs into K2</w:t>
            </w:r>
          </w:p>
        </w:tc>
        <w:tc>
          <w:tcPr>
            <w:tcW w:type="dxa" w:w="5760"/>
          </w:tcPr>
          <w:p>
            <w:r/>
            <w:r>
              <w:rPr>
                <w:rFonts w:ascii="Times New Roman" w:hAnsi="Times New Roman" w:eastAsia="Times New Roman"/>
                <w:b w:val="0"/>
                <w:sz w:val="19"/>
              </w:rPr>
              <w:t>Unable to retrieve (11104, 11550, 26384, 30808); K1 import issue (24116, 29902); “No Property Details Found” (30957); unable to register K1 pending (30603, 30795)</w:t>
            </w:r>
          </w:p>
        </w:tc>
      </w:tr>
      <w:tr>
        <w:tc>
          <w:tcPr>
            <w:tcW w:type="dxa" w:w="4032"/>
          </w:tcPr>
          <w:p>
            <w:r/>
            <w:r>
              <w:rPr>
                <w:rFonts w:ascii="Times New Roman" w:hAnsi="Times New Roman" w:eastAsia="Times New Roman"/>
                <w:b w:val="0"/>
                <w:sz w:val="19"/>
              </w:rPr>
              <w:t>Pending shows in wrong place (not Minute Book)</w:t>
            </w:r>
          </w:p>
        </w:tc>
        <w:tc>
          <w:tcPr>
            <w:tcW w:type="dxa" w:w="5760"/>
          </w:tcPr>
          <w:p>
            <w:r/>
            <w:r>
              <w:rPr>
                <w:rFonts w:ascii="Times New Roman" w:hAnsi="Times New Roman" w:eastAsia="Times New Roman"/>
                <w:b w:val="0"/>
                <w:sz w:val="19"/>
              </w:rPr>
              <w:t>Pending app in SR Step 1 instead of Minute Book (22599, 31762); K1 pending release shows in Citizen Book Appointment instead of SR Minute Book (26982)</w:t>
            </w:r>
          </w:p>
        </w:tc>
      </w:tr>
      <w:tr>
        <w:tc>
          <w:tcPr>
            <w:tcW w:type="dxa" w:w="4032"/>
          </w:tcPr>
          <w:p>
            <w:r/>
            <w:r>
              <w:rPr>
                <w:rFonts w:ascii="Times New Roman" w:hAnsi="Times New Roman" w:eastAsia="Times New Roman"/>
                <w:b w:val="0"/>
                <w:sz w:val="19"/>
              </w:rPr>
              <w:t>After Minute Book / DR approval, property details won’t save</w:t>
            </w:r>
          </w:p>
        </w:tc>
        <w:tc>
          <w:tcPr>
            <w:tcW w:type="dxa" w:w="5760"/>
          </w:tcPr>
          <w:p>
            <w:r/>
            <w:r>
              <w:rPr>
                <w:rFonts w:ascii="Times New Roman" w:hAnsi="Times New Roman" w:eastAsia="Times New Roman"/>
                <w:b w:val="0"/>
                <w:sz w:val="19"/>
              </w:rPr>
              <w:t>“Unable to save property numbers after DR approval (Pending release from Minute Book)” (95370)</w:t>
            </w:r>
          </w:p>
        </w:tc>
      </w:tr>
      <w:tr>
        <w:tc>
          <w:tcPr>
            <w:tcW w:type="dxa" w:w="4032"/>
          </w:tcPr>
          <w:p>
            <w:r/>
            <w:r>
              <w:rPr>
                <w:rFonts w:ascii="Times New Roman" w:hAnsi="Times New Roman" w:eastAsia="Times New Roman"/>
                <w:b w:val="0"/>
                <w:sz w:val="19"/>
              </w:rPr>
              <w:t>Pending for condonation of delay stuck</w:t>
            </w:r>
          </w:p>
        </w:tc>
        <w:tc>
          <w:tcPr>
            <w:tcW w:type="dxa" w:w="5760"/>
          </w:tcPr>
          <w:p>
            <w:r/>
            <w:r>
              <w:rPr>
                <w:rFonts w:ascii="Times New Roman" w:hAnsi="Times New Roman" w:eastAsia="Times New Roman"/>
                <w:b w:val="0"/>
                <w:sz w:val="19"/>
              </w:rPr>
              <w:t>Delay condonation issues (18075, 18302, 20097, 21145, 23198); Categorized: pending for condonation + 45-A (93336, 93031, 92988… — count 6)</w:t>
            </w:r>
          </w:p>
        </w:tc>
      </w:tr>
      <w:tr>
        <w:tc>
          <w:tcPr>
            <w:tcW w:type="dxa" w:w="4032"/>
          </w:tcPr>
          <w:p>
            <w:r/>
            <w:r>
              <w:rPr>
                <w:rFonts w:ascii="Times New Roman" w:hAnsi="Times New Roman" w:eastAsia="Times New Roman"/>
                <w:b w:val="0"/>
                <w:sz w:val="19"/>
              </w:rPr>
              <w:t>45-A undervaluation pending cannot be released</w:t>
            </w:r>
          </w:p>
        </w:tc>
        <w:tc>
          <w:tcPr>
            <w:tcW w:type="dxa" w:w="5760"/>
          </w:tcPr>
          <w:p>
            <w:r/>
            <w:r>
              <w:rPr>
                <w:rFonts w:ascii="Times New Roman" w:hAnsi="Times New Roman" w:eastAsia="Times New Roman"/>
                <w:b w:val="0"/>
                <w:sz w:val="19"/>
              </w:rPr>
              <w:t>Unable to release 45-A (13204, 14582, 28425, 31209–31212, 30735…); wrong step (25815, 28393); pending still got registration number (19525, 30452, 31653)</w:t>
            </w:r>
          </w:p>
        </w:tc>
      </w:tr>
      <w:tr>
        <w:tc>
          <w:tcPr>
            <w:tcW w:type="dxa" w:w="4032"/>
          </w:tcPr>
          <w:p>
            <w:r/>
            <w:r>
              <w:rPr>
                <w:rFonts w:ascii="Times New Roman" w:hAnsi="Times New Roman" w:eastAsia="Times New Roman"/>
                <w:b w:val="0"/>
                <w:sz w:val="19"/>
              </w:rPr>
              <w:t>After release, fee/challan / integration broken</w:t>
            </w:r>
          </w:p>
        </w:tc>
        <w:tc>
          <w:tcPr>
            <w:tcW w:type="dxa" w:w="5760"/>
          </w:tcPr>
          <w:p>
            <w:r/>
            <w:r>
              <w:rPr>
                <w:rFonts w:ascii="Times New Roman" w:hAnsi="Times New Roman" w:eastAsia="Times New Roman"/>
                <w:b w:val="0"/>
                <w:sz w:val="19"/>
              </w:rPr>
              <w:t>Stamp duty / fee / cess / challan columns blank on 45-A pending release (30156); J-slip not sent after 45-A pending release (21405, 23789, 27544); extra stamp/fee entry needed at registration of 45-A pending (18425)</w:t>
            </w:r>
          </w:p>
        </w:tc>
      </w:tr>
      <w:tr>
        <w:tc>
          <w:tcPr>
            <w:tcW w:type="dxa" w:w="4032"/>
          </w:tcPr>
          <w:p>
            <w:r/>
            <w:r>
              <w:rPr>
                <w:rFonts w:ascii="Times New Roman" w:hAnsi="Times New Roman" w:eastAsia="Times New Roman"/>
                <w:b w:val="0"/>
                <w:sz w:val="19"/>
              </w:rPr>
              <w:t>Impound-related pending</w:t>
            </w:r>
          </w:p>
        </w:tc>
        <w:tc>
          <w:tcPr>
            <w:tcW w:type="dxa" w:w="5760"/>
          </w:tcPr>
          <w:p>
            <w:r/>
            <w:r>
              <w:rPr>
                <w:rFonts w:ascii="Times New Roman" w:hAnsi="Times New Roman" w:eastAsia="Times New Roman"/>
                <w:b w:val="0"/>
                <w:sz w:val="19"/>
              </w:rPr>
              <w:t>Impound related issue (30024)</w:t>
            </w:r>
          </w:p>
        </w:tc>
      </w:tr>
      <w:tr>
        <w:tc>
          <w:tcPr>
            <w:tcW w:type="dxa" w:w="4032"/>
          </w:tcPr>
          <w:p>
            <w:r/>
            <w:r>
              <w:rPr>
                <w:rFonts w:ascii="Times New Roman" w:hAnsi="Times New Roman" w:eastAsia="Times New Roman"/>
                <w:b w:val="0"/>
                <w:sz w:val="19"/>
              </w:rPr>
              <w:t>Old (pre-2003) pending — party details cannot be entered</w:t>
            </w:r>
          </w:p>
        </w:tc>
        <w:tc>
          <w:tcPr>
            <w:tcW w:type="dxa" w:w="5760"/>
          </w:tcPr>
          <w:p>
            <w:r/>
            <w:r>
              <w:rPr>
                <w:rFonts w:ascii="Times New Roman" w:hAnsi="Times New Roman" w:eastAsia="Times New Roman"/>
                <w:b w:val="0"/>
                <w:sz w:val="19"/>
              </w:rPr>
              <w:t>Unable to enter executant details for pending prior to 2003 (31315)</w:t>
            </w:r>
          </w:p>
        </w:tc>
      </w:tr>
      <w:tr>
        <w:tc>
          <w:tcPr>
            <w:tcW w:type="dxa" w:w="4032"/>
          </w:tcPr>
          <w:p>
            <w:r/>
            <w:r>
              <w:rPr>
                <w:rFonts w:ascii="Times New Roman" w:hAnsi="Times New Roman" w:eastAsia="Times New Roman"/>
                <w:b w:val="0"/>
                <w:sz w:val="19"/>
              </w:rPr>
              <w:t>Cannot generate application for old pending</w:t>
            </w:r>
          </w:p>
        </w:tc>
        <w:tc>
          <w:tcPr>
            <w:tcW w:type="dxa" w:w="5760"/>
          </w:tcPr>
          <w:p>
            <w:r/>
            <w:r>
              <w:rPr>
                <w:rFonts w:ascii="Times New Roman" w:hAnsi="Times New Roman" w:eastAsia="Times New Roman"/>
                <w:b w:val="0"/>
                <w:sz w:val="19"/>
              </w:rPr>
              <w:t>Unable to generate application of Pending Doc No.28/2010-11 (14577 P1)</w:t>
            </w:r>
          </w:p>
        </w:tc>
      </w:tr>
      <w:tr>
        <w:tc>
          <w:tcPr>
            <w:tcW w:type="dxa" w:w="4032"/>
          </w:tcPr>
          <w:p>
            <w:r/>
            <w:r>
              <w:rPr>
                <w:rFonts w:ascii="Times New Roman" w:hAnsi="Times New Roman" w:eastAsia="Times New Roman"/>
                <w:b w:val="0"/>
                <w:sz w:val="19"/>
              </w:rPr>
              <w:t>Pending number not on department summary</w:t>
            </w:r>
          </w:p>
        </w:tc>
        <w:tc>
          <w:tcPr>
            <w:tcW w:type="dxa" w:w="5760"/>
          </w:tcPr>
          <w:p>
            <w:r/>
            <w:r>
              <w:rPr>
                <w:rFonts w:ascii="Times New Roman" w:hAnsi="Times New Roman" w:eastAsia="Times New Roman"/>
                <w:b w:val="0"/>
                <w:sz w:val="19"/>
              </w:rPr>
              <w:t>Pending number not reflecting in dept summary (92285, 90623)</w:t>
            </w:r>
          </w:p>
        </w:tc>
      </w:tr>
    </w:tbl>
    <w:p/>
    <w:p>
      <w:pPr>
        <w:spacing w:after="120" w:before="160"/>
      </w:pPr>
      <w:r>
        <w:rPr>
          <w:rFonts w:ascii="Segoe UI" w:hAnsi="Segoe UI" w:eastAsia="Segoe UI"/>
          <w:b/>
          <w:color w:val="2F5496"/>
          <w:sz w:val="25"/>
        </w:rPr>
        <w:t>3. E-filing from Govt / Institutional</w:t>
      </w:r>
    </w:p>
    <w:p>
      <w:pPr>
        <w:spacing w:after="120" w:before="160"/>
      </w:pPr>
      <w:r>
        <w:rPr>
          <w:rFonts w:ascii="Segoe UI" w:hAnsi="Segoe UI" w:eastAsia="Segoe UI"/>
          <w:b/>
          <w:color w:val="404040"/>
          <w:sz w:val="23"/>
        </w:rPr>
        <w:t>A. FRUITS / bank–institutional e-filing</w:t>
      </w:r>
    </w:p>
    <w:tbl>
      <w:tblPr>
        <w:tblStyle w:val="TableGrid"/>
        <w:tblW w:type="auto" w:w="0"/>
        <w:tblLook w:firstColumn="1" w:firstRow="1" w:lastColumn="0" w:lastRow="0" w:noHBand="0" w:noVBand="1" w:val="04A0"/>
      </w:tblPr>
      <w:tblGrid>
        <w:gridCol w:w="5040"/>
        <w:gridCol w:w="5040"/>
      </w:tblGrid>
      <w:tr>
        <w:tc>
          <w:tcPr>
            <w:tcW w:type="dxa" w:w="4896"/>
            <w:shd w:val="clear" w:color="auto" w:fill="1F4E79"/>
          </w:tcPr>
          <w:p>
            <w:r>
              <w:rPr>
                <w:b/>
                <w:color w:val="FFFFFF"/>
              </w:rPr>
            </w:r>
            <w:r>
              <w:rPr>
                <w:rFonts w:ascii="Times New Roman" w:hAnsi="Times New Roman" w:eastAsia="Times New Roman"/>
                <w:b/>
                <w:color w:val="FFFFFF"/>
                <w:sz w:val="20"/>
              </w:rPr>
              <w:t>Pain point</w:t>
            </w:r>
          </w:p>
        </w:tc>
        <w:tc>
          <w:tcPr>
            <w:tcW w:type="dxa" w:w="4896"/>
            <w:shd w:val="clear" w:color="auto" w:fill="1F4E79"/>
          </w:tcPr>
          <w:p>
            <w:r>
              <w:rPr>
                <w:b/>
                <w:color w:val="FFFFFF"/>
              </w:rPr>
            </w:r>
            <w:r>
              <w:rPr>
                <w:rFonts w:ascii="Times New Roman" w:hAnsi="Times New Roman" w:eastAsia="Times New Roman"/>
                <w:b/>
                <w:color w:val="FFFFFF"/>
                <w:sz w:val="20"/>
              </w:rPr>
              <w:t>Evidence</w:t>
            </w:r>
          </w:p>
        </w:tc>
      </w:tr>
      <w:tr>
        <w:tc>
          <w:tcPr>
            <w:tcW w:type="dxa" w:w="4896"/>
          </w:tcPr>
          <w:p>
            <w:r/>
            <w:r>
              <w:rPr>
                <w:rFonts w:ascii="Times New Roman" w:hAnsi="Times New Roman" w:eastAsia="Times New Roman"/>
                <w:b w:val="0"/>
                <w:sz w:val="19"/>
              </w:rPr>
              <w:t>FRUITS applications not visible in SR login though bank says submitted</w:t>
            </w:r>
          </w:p>
        </w:tc>
        <w:tc>
          <w:tcPr>
            <w:tcW w:type="dxa" w:w="4896"/>
          </w:tcPr>
          <w:p>
            <w:r/>
            <w:r>
              <w:rPr>
                <w:rFonts w:ascii="Times New Roman" w:hAnsi="Times New Roman" w:eastAsia="Times New Roman"/>
                <w:b w:val="0"/>
                <w:sz w:val="19"/>
              </w:rPr>
              <w:t>15467, 10061</w:t>
            </w:r>
          </w:p>
        </w:tc>
      </w:tr>
      <w:tr>
        <w:tc>
          <w:tcPr>
            <w:tcW w:type="dxa" w:w="4896"/>
          </w:tcPr>
          <w:p>
            <w:r/>
            <w:r>
              <w:rPr>
                <w:rFonts w:ascii="Times New Roman" w:hAnsi="Times New Roman" w:eastAsia="Times New Roman"/>
                <w:b w:val="0"/>
                <w:sz w:val="19"/>
              </w:rPr>
              <w:t>SRO code not mapped (intake fails)</w:t>
            </w:r>
          </w:p>
        </w:tc>
        <w:tc>
          <w:tcPr>
            <w:tcW w:type="dxa" w:w="4896"/>
          </w:tcPr>
          <w:p>
            <w:r/>
            <w:r>
              <w:rPr>
                <w:rFonts w:ascii="Times New Roman" w:hAnsi="Times New Roman" w:eastAsia="Times New Roman"/>
                <w:b w:val="0"/>
                <w:sz w:val="19"/>
              </w:rPr>
              <w:t>24581, 25905, 27404</w:t>
            </w:r>
          </w:p>
        </w:tc>
      </w:tr>
      <w:tr>
        <w:tc>
          <w:tcPr>
            <w:tcW w:type="dxa" w:w="4896"/>
          </w:tcPr>
          <w:p>
            <w:r/>
            <w:r>
              <w:rPr>
                <w:rFonts w:ascii="Times New Roman" w:hAnsi="Times New Roman" w:eastAsia="Times New Roman"/>
                <w:b w:val="0"/>
                <w:sz w:val="19"/>
              </w:rPr>
              <w:t>Owner name truncated (100-char limit)</w:t>
            </w:r>
          </w:p>
        </w:tc>
        <w:tc>
          <w:tcPr>
            <w:tcW w:type="dxa" w:w="4896"/>
          </w:tcPr>
          <w:p>
            <w:r/>
            <w:r>
              <w:rPr>
                <w:rFonts w:ascii="Times New Roman" w:hAnsi="Times New Roman" w:eastAsia="Times New Roman"/>
                <w:b w:val="0"/>
                <w:sz w:val="19"/>
              </w:rPr>
              <w:t>25107</w:t>
            </w:r>
          </w:p>
        </w:tc>
      </w:tr>
      <w:tr>
        <w:tc>
          <w:tcPr>
            <w:tcW w:type="dxa" w:w="4896"/>
          </w:tcPr>
          <w:p>
            <w:r/>
            <w:r>
              <w:rPr>
                <w:rFonts w:ascii="Times New Roman" w:hAnsi="Times New Roman" w:eastAsia="Times New Roman"/>
                <w:b w:val="0"/>
                <w:sz w:val="19"/>
              </w:rPr>
              <w:t>Unable to clear / complete FRUITS filing</w:t>
            </w:r>
          </w:p>
        </w:tc>
        <w:tc>
          <w:tcPr>
            <w:tcW w:type="dxa" w:w="4896"/>
          </w:tcPr>
          <w:p>
            <w:r/>
            <w:r>
              <w:rPr>
                <w:rFonts w:ascii="Times New Roman" w:hAnsi="Times New Roman" w:eastAsia="Times New Roman"/>
                <w:b w:val="0"/>
                <w:sz w:val="19"/>
              </w:rPr>
              <w:t>27622</w:t>
            </w:r>
          </w:p>
        </w:tc>
      </w:tr>
      <w:tr>
        <w:tc>
          <w:tcPr>
            <w:tcW w:type="dxa" w:w="4896"/>
          </w:tcPr>
          <w:p>
            <w:r/>
            <w:r>
              <w:rPr>
                <w:rFonts w:ascii="Times New Roman" w:hAnsi="Times New Roman" w:eastAsia="Times New Roman"/>
                <w:b w:val="0"/>
                <w:sz w:val="19"/>
              </w:rPr>
              <w:t>Digital sign fails on FRUITS / Book-1 Part-IV</w:t>
            </w:r>
          </w:p>
        </w:tc>
        <w:tc>
          <w:tcPr>
            <w:tcW w:type="dxa" w:w="4896"/>
          </w:tcPr>
          <w:p>
            <w:r/>
            <w:r>
              <w:rPr>
                <w:rFonts w:ascii="Times New Roman" w:hAnsi="Times New Roman" w:eastAsia="Times New Roman"/>
                <w:b w:val="0"/>
                <w:sz w:val="19"/>
              </w:rPr>
              <w:t>28216; also 85981</w:t>
            </w:r>
          </w:p>
        </w:tc>
      </w:tr>
      <w:tr>
        <w:tc>
          <w:tcPr>
            <w:tcW w:type="dxa" w:w="4896"/>
          </w:tcPr>
          <w:p>
            <w:r/>
            <w:r>
              <w:rPr>
                <w:rFonts w:ascii="Times New Roman" w:hAnsi="Times New Roman" w:eastAsia="Times New Roman"/>
                <w:b w:val="0"/>
                <w:sz w:val="19"/>
              </w:rPr>
              <w:t>Junk FRUITS apps stuck in Step-1 needing delete</w:t>
            </w:r>
          </w:p>
        </w:tc>
        <w:tc>
          <w:tcPr>
            <w:tcW w:type="dxa" w:w="4896"/>
          </w:tcPr>
          <w:p>
            <w:r/>
            <w:r>
              <w:rPr>
                <w:rFonts w:ascii="Times New Roman" w:hAnsi="Times New Roman" w:eastAsia="Times New Roman"/>
                <w:b w:val="0"/>
                <w:sz w:val="19"/>
              </w:rPr>
              <w:t>22716</w:t>
            </w:r>
          </w:p>
        </w:tc>
      </w:tr>
    </w:tbl>
    <w:p/>
    <w:p>
      <w:pPr>
        <w:spacing w:after="120" w:before="160"/>
      </w:pPr>
      <w:r>
        <w:rPr>
          <w:rFonts w:ascii="Segoe UI" w:hAnsi="Segoe UI" w:eastAsia="Segoe UI"/>
          <w:b/>
          <w:color w:val="404040"/>
          <w:sz w:val="23"/>
        </w:rPr>
        <w:t>B. Court / institutional order entry</w:t>
      </w:r>
    </w:p>
    <w:tbl>
      <w:tblPr>
        <w:tblStyle w:val="TableGrid"/>
        <w:tblW w:type="auto" w:w="0"/>
        <w:tblLook w:firstColumn="1" w:firstRow="1" w:lastColumn="0" w:lastRow="0" w:noHBand="0" w:noVBand="1" w:val="04A0"/>
      </w:tblPr>
      <w:tblGrid>
        <w:gridCol w:w="5040"/>
        <w:gridCol w:w="5040"/>
      </w:tblGrid>
      <w:tr>
        <w:tc>
          <w:tcPr>
            <w:tcW w:type="dxa" w:w="4896"/>
            <w:shd w:val="clear" w:color="auto" w:fill="1F4E79"/>
          </w:tcPr>
          <w:p>
            <w:r>
              <w:rPr>
                <w:b/>
                <w:color w:val="FFFFFF"/>
              </w:rPr>
            </w:r>
            <w:r>
              <w:rPr>
                <w:rFonts w:ascii="Times New Roman" w:hAnsi="Times New Roman" w:eastAsia="Times New Roman"/>
                <w:b/>
                <w:color w:val="FFFFFF"/>
                <w:sz w:val="20"/>
              </w:rPr>
              <w:t>Pain point</w:t>
            </w:r>
          </w:p>
        </w:tc>
        <w:tc>
          <w:tcPr>
            <w:tcW w:type="dxa" w:w="4896"/>
            <w:shd w:val="clear" w:color="auto" w:fill="1F4E79"/>
          </w:tcPr>
          <w:p>
            <w:r>
              <w:rPr>
                <w:b/>
                <w:color w:val="FFFFFF"/>
              </w:rPr>
            </w:r>
            <w:r>
              <w:rPr>
                <w:rFonts w:ascii="Times New Roman" w:hAnsi="Times New Roman" w:eastAsia="Times New Roman"/>
                <w:b/>
                <w:color w:val="FFFFFF"/>
                <w:sz w:val="20"/>
              </w:rPr>
              <w:t>Evidence</w:t>
            </w:r>
          </w:p>
        </w:tc>
      </w:tr>
      <w:tr>
        <w:tc>
          <w:tcPr>
            <w:tcW w:type="dxa" w:w="4896"/>
          </w:tcPr>
          <w:p>
            <w:r/>
            <w:r>
              <w:rPr>
                <w:rFonts w:ascii="Times New Roman" w:hAnsi="Times New Roman" w:eastAsia="Times New Roman"/>
                <w:b w:val="0"/>
                <w:sz w:val="19"/>
              </w:rPr>
              <w:t>Court entry not reflecting in citizen login after dept entry</w:t>
            </w:r>
          </w:p>
        </w:tc>
        <w:tc>
          <w:tcPr>
            <w:tcW w:type="dxa" w:w="4896"/>
          </w:tcPr>
          <w:p>
            <w:r/>
            <w:r>
              <w:rPr>
                <w:rFonts w:ascii="Times New Roman" w:hAnsi="Times New Roman" w:eastAsia="Times New Roman"/>
                <w:b w:val="0"/>
                <w:sz w:val="19"/>
              </w:rPr>
              <w:t>5184</w:t>
            </w:r>
          </w:p>
        </w:tc>
      </w:tr>
      <w:tr>
        <w:tc>
          <w:tcPr>
            <w:tcW w:type="dxa" w:w="4896"/>
          </w:tcPr>
          <w:p>
            <w:r/>
            <w:r>
              <w:rPr>
                <w:rFonts w:ascii="Times New Roman" w:hAnsi="Times New Roman" w:eastAsia="Times New Roman"/>
                <w:b w:val="0"/>
                <w:sz w:val="19"/>
              </w:rPr>
              <w:t>OTP / cancel court case failures</w:t>
            </w:r>
          </w:p>
        </w:tc>
        <w:tc>
          <w:tcPr>
            <w:tcW w:type="dxa" w:w="4896"/>
          </w:tcPr>
          <w:p>
            <w:r/>
            <w:r>
              <w:rPr>
                <w:rFonts w:ascii="Times New Roman" w:hAnsi="Times New Roman" w:eastAsia="Times New Roman"/>
                <w:b w:val="0"/>
                <w:sz w:val="19"/>
              </w:rPr>
              <w:t>94903, 93570, 95596, 93179…</w:t>
            </w:r>
          </w:p>
        </w:tc>
      </w:tr>
      <w:tr>
        <w:tc>
          <w:tcPr>
            <w:tcW w:type="dxa" w:w="4896"/>
          </w:tcPr>
          <w:p>
            <w:r/>
            <w:r>
              <w:rPr>
                <w:rFonts w:ascii="Times New Roman" w:hAnsi="Times New Roman" w:eastAsia="Times New Roman"/>
                <w:b w:val="0"/>
                <w:sz w:val="19"/>
              </w:rPr>
              <w:t>Wrong survey / wrong jurisdiction after save</w:t>
            </w:r>
          </w:p>
        </w:tc>
        <w:tc>
          <w:tcPr>
            <w:tcW w:type="dxa" w:w="4896"/>
          </w:tcPr>
          <w:p>
            <w:r/>
            <w:r>
              <w:rPr>
                <w:rFonts w:ascii="Times New Roman" w:hAnsi="Times New Roman" w:eastAsia="Times New Roman"/>
                <w:b w:val="0"/>
                <w:sz w:val="19"/>
              </w:rPr>
              <w:t>29744, 43971</w:t>
            </w:r>
          </w:p>
        </w:tc>
      </w:tr>
    </w:tbl>
    <w:p/>
    <w:p>
      <w:pPr>
        <w:spacing w:after="120" w:before="160"/>
      </w:pPr>
      <w:r>
        <w:rPr>
          <w:rFonts w:ascii="Segoe UI" w:hAnsi="Segoe UI" w:eastAsia="Segoe UI"/>
          <w:b/>
          <w:color w:val="404040"/>
          <w:sz w:val="23"/>
        </w:rPr>
        <w:t>C. Memo filing (Rule 17 Part I–related)</w:t>
      </w:r>
    </w:p>
    <w:tbl>
      <w:tblPr>
        <w:tblStyle w:val="TableGrid"/>
        <w:tblW w:type="auto" w:w="0"/>
        <w:tblLook w:firstColumn="1" w:firstRow="1" w:lastColumn="0" w:lastRow="0" w:noHBand="0" w:noVBand="1" w:val="04A0"/>
      </w:tblPr>
      <w:tblGrid>
        <w:gridCol w:w="5040"/>
        <w:gridCol w:w="5040"/>
      </w:tblGrid>
      <w:tr>
        <w:tc>
          <w:tcPr>
            <w:tcW w:type="dxa" w:w="4896"/>
            <w:shd w:val="clear" w:color="auto" w:fill="1F4E79"/>
          </w:tcPr>
          <w:p>
            <w:r>
              <w:rPr>
                <w:b/>
                <w:color w:val="FFFFFF"/>
              </w:rPr>
            </w:r>
            <w:r>
              <w:rPr>
                <w:rFonts w:ascii="Times New Roman" w:hAnsi="Times New Roman" w:eastAsia="Times New Roman"/>
                <w:b/>
                <w:color w:val="FFFFFF"/>
                <w:sz w:val="20"/>
              </w:rPr>
              <w:t>Pain point</w:t>
            </w:r>
          </w:p>
        </w:tc>
        <w:tc>
          <w:tcPr>
            <w:tcW w:type="dxa" w:w="4896"/>
            <w:shd w:val="clear" w:color="auto" w:fill="1F4E79"/>
          </w:tcPr>
          <w:p>
            <w:r>
              <w:rPr>
                <w:b/>
                <w:color w:val="FFFFFF"/>
              </w:rPr>
            </w:r>
            <w:r>
              <w:rPr>
                <w:rFonts w:ascii="Times New Roman" w:hAnsi="Times New Roman" w:eastAsia="Times New Roman"/>
                <w:b/>
                <w:color w:val="FFFFFF"/>
                <w:sz w:val="20"/>
              </w:rPr>
              <w:t>Evidence</w:t>
            </w:r>
          </w:p>
        </w:tc>
      </w:tr>
      <w:tr>
        <w:tc>
          <w:tcPr>
            <w:tcW w:type="dxa" w:w="4896"/>
          </w:tcPr>
          <w:p>
            <w:r/>
            <w:r>
              <w:rPr>
                <w:rFonts w:ascii="Times New Roman" w:hAnsi="Times New Roman" w:eastAsia="Times New Roman"/>
                <w:b w:val="0"/>
                <w:sz w:val="19"/>
              </w:rPr>
              <w:t>Unable to file memo K1 → K2</w:t>
            </w:r>
          </w:p>
        </w:tc>
        <w:tc>
          <w:tcPr>
            <w:tcW w:type="dxa" w:w="4896"/>
          </w:tcPr>
          <w:p>
            <w:r/>
            <w:r>
              <w:rPr>
                <w:rFonts w:ascii="Times New Roman" w:hAnsi="Times New Roman" w:eastAsia="Times New Roman"/>
                <w:b w:val="0"/>
                <w:sz w:val="19"/>
              </w:rPr>
              <w:t>8354, 11076, 22543, 23933</w:t>
            </w:r>
          </w:p>
        </w:tc>
      </w:tr>
      <w:tr>
        <w:tc>
          <w:tcPr>
            <w:tcW w:type="dxa" w:w="4896"/>
          </w:tcPr>
          <w:p>
            <w:r/>
            <w:r>
              <w:rPr>
                <w:rFonts w:ascii="Times New Roman" w:hAnsi="Times New Roman" w:eastAsia="Times New Roman"/>
                <w:b w:val="0"/>
                <w:sz w:val="19"/>
              </w:rPr>
              <w:t>Memo not received at destination SRO / wrong location</w:t>
            </w:r>
          </w:p>
        </w:tc>
        <w:tc>
          <w:tcPr>
            <w:tcW w:type="dxa" w:w="4896"/>
          </w:tcPr>
          <w:p>
            <w:r/>
            <w:r>
              <w:rPr>
                <w:rFonts w:ascii="Times New Roman" w:hAnsi="Times New Roman" w:eastAsia="Times New Roman"/>
                <w:b w:val="0"/>
                <w:sz w:val="19"/>
              </w:rPr>
              <w:t>29153, 63230</w:t>
            </w:r>
          </w:p>
        </w:tc>
      </w:tr>
      <w:tr>
        <w:tc>
          <w:tcPr>
            <w:tcW w:type="dxa" w:w="4896"/>
          </w:tcPr>
          <w:p>
            <w:r/>
            <w:r>
              <w:rPr>
                <w:rFonts w:ascii="Times New Roman" w:hAnsi="Times New Roman" w:eastAsia="Times New Roman"/>
                <w:b w:val="0"/>
                <w:sz w:val="19"/>
              </w:rPr>
              <w:t>General memo filing failures</w:t>
            </w:r>
          </w:p>
        </w:tc>
        <w:tc>
          <w:tcPr>
            <w:tcW w:type="dxa" w:w="4896"/>
          </w:tcPr>
          <w:p>
            <w:r/>
            <w:r>
              <w:rPr>
                <w:rFonts w:ascii="Times New Roman" w:hAnsi="Times New Roman" w:eastAsia="Times New Roman"/>
                <w:b w:val="0"/>
                <w:sz w:val="19"/>
              </w:rPr>
              <w:t>18566, 23172, 27438, 28251, 29096</w:t>
            </w:r>
          </w:p>
        </w:tc>
      </w:tr>
    </w:tbl>
    <w:p/>
    <w:p>
      <w:pPr>
        <w:spacing w:after="120" w:before="280"/>
      </w:pPr>
      <w:r>
        <w:rPr>
          <w:rFonts w:ascii="Segoe UI" w:hAnsi="Segoe UI" w:eastAsia="Segoe UI"/>
          <w:b/>
          <w:color w:val="2E75B6"/>
          <w:sz w:val="28"/>
        </w:rPr>
        <w:t>5.5 User stories</w:t>
      </w:r>
    </w:p>
    <w:p>
      <w:pPr>
        <w:spacing w:after="120" w:before="160"/>
      </w:pPr>
      <w:r>
        <w:rPr>
          <w:rFonts w:ascii="Segoe UI" w:hAnsi="Segoe UI" w:eastAsia="Segoe UI"/>
          <w:b/>
          <w:color w:val="2F5496"/>
          <w:sz w:val="25"/>
        </w:rPr>
        <w:t>Rule 17(i) — Book 1 supplements</w:t>
      </w:r>
    </w:p>
    <w:p>
      <w:pPr>
        <w:spacing w:after="160" w:before="40"/>
      </w:pPr>
      <w:r>
        <w:rPr>
          <w:rFonts w:ascii="Segoe UI" w:hAnsi="Segoe UI" w:eastAsia="Segoe UI"/>
          <w:b/>
          <w:sz w:val="21"/>
        </w:rPr>
        <w:t xml:space="preserve">US-17.1. </w:t>
      </w:r>
      <w:r>
        <w:rPr>
          <w:rFonts w:ascii="Segoe UI" w:hAnsi="Segoe UI" w:eastAsia="Segoe UI"/>
          <w:b w:val="0"/>
          <w:sz w:val="21"/>
        </w:rPr>
        <w:t>As a Sub-Registrar / DEO, I want to file court/revenue/bank/maps/memo papers into the correct Book 1 supplement part, so that institutional filings are stored in the right official folder.</w:t>
      </w:r>
    </w:p>
    <w:p>
      <w:pPr>
        <w:spacing w:after="160" w:before="40"/>
      </w:pPr>
      <w:r>
        <w:rPr>
          <w:rFonts w:ascii="Segoe UI" w:hAnsi="Segoe UI" w:eastAsia="Segoe UI"/>
          <w:b/>
          <w:sz w:val="21"/>
        </w:rPr>
        <w:t xml:space="preserve">US-17.2. </w:t>
      </w:r>
      <w:r>
        <w:rPr>
          <w:rFonts w:ascii="Segoe UI" w:hAnsi="Segoe UI" w:eastAsia="Segoe UI"/>
          <w:b w:val="0"/>
          <w:sz w:val="21"/>
        </w:rPr>
        <w:t>As a Govt / Court / Bank sender, I want to submit sale certificates, Land Acquisition statements, loan papers, or maps for filing, so that they are recorded under Rule 17(i) without treating them as a normal citizen deed.</w:t>
      </w:r>
    </w:p>
    <w:p>
      <w:pPr>
        <w:spacing w:after="120" w:before="160"/>
      </w:pPr>
      <w:r>
        <w:rPr>
          <w:rFonts w:ascii="Segoe UI" w:hAnsi="Segoe UI" w:eastAsia="Segoe UI"/>
          <w:b/>
          <w:color w:val="2F5496"/>
          <w:sz w:val="25"/>
        </w:rPr>
        <w:t>Rule 17(ii) — Copies and translations</w:t>
      </w:r>
    </w:p>
    <w:p>
      <w:pPr>
        <w:spacing w:after="160" w:before="40"/>
      </w:pPr>
      <w:r>
        <w:rPr>
          <w:rFonts w:ascii="Segoe UI" w:hAnsi="Segoe UI" w:eastAsia="Segoe UI"/>
          <w:b/>
          <w:sz w:val="21"/>
        </w:rPr>
        <w:t xml:space="preserve">US-17.3. </w:t>
      </w:r>
      <w:r>
        <w:rPr>
          <w:rFonts w:ascii="Segoe UI" w:hAnsi="Segoe UI" w:eastAsia="Segoe UI"/>
          <w:b w:val="0"/>
          <w:sz w:val="21"/>
        </w:rPr>
        <w:t>As a citizen / presentant, I want to submit a translation/copy when my document is in an unknown language (Sec. 19/62), so that the SRO can examine and register my document.</w:t>
      </w:r>
    </w:p>
    <w:p>
      <w:pPr>
        <w:spacing w:after="160" w:before="40"/>
      </w:pPr>
      <w:r>
        <w:rPr>
          <w:rFonts w:ascii="Segoe UI" w:hAnsi="Segoe UI" w:eastAsia="Segoe UI"/>
          <w:b/>
          <w:sz w:val="21"/>
        </w:rPr>
        <w:t xml:space="preserve">US-17.4. </w:t>
      </w:r>
      <w:r>
        <w:rPr>
          <w:rFonts w:ascii="Segoe UI" w:hAnsi="Segoe UI" w:eastAsia="Segoe UI"/>
          <w:b w:val="0"/>
          <w:sz w:val="21"/>
        </w:rPr>
        <w:t>As a Sub-Registrar / DEO, I want to store the copy/translation in a separate Rule 17(ii) file and link it to the register entry, so that extra papers are preserved and easy to retrieve later.</w:t>
      </w:r>
    </w:p>
    <w:p>
      <w:pPr>
        <w:spacing w:after="120" w:before="160"/>
      </w:pPr>
      <w:r>
        <w:rPr>
          <w:rFonts w:ascii="Segoe UI" w:hAnsi="Segoe UI" w:eastAsia="Segoe UI"/>
          <w:b/>
          <w:color w:val="2F5496"/>
          <w:sz w:val="25"/>
        </w:rPr>
        <w:t>Rule 17(iii) — Cancel / modify / correct communications</w:t>
      </w:r>
    </w:p>
    <w:p>
      <w:pPr>
        <w:spacing w:after="160" w:before="40"/>
      </w:pPr>
      <w:r>
        <w:rPr>
          <w:rFonts w:ascii="Segoe UI" w:hAnsi="Segoe UI" w:eastAsia="Segoe UI"/>
          <w:b/>
          <w:sz w:val="21"/>
        </w:rPr>
        <w:t xml:space="preserve">US-17.5. </w:t>
      </w:r>
      <w:r>
        <w:rPr>
          <w:rFonts w:ascii="Segoe UI" w:hAnsi="Segoe UI" w:eastAsia="Segoe UI"/>
          <w:b w:val="0"/>
          <w:sz w:val="21"/>
        </w:rPr>
        <w:t>As a other department / court / revenue officer, I want to send a cancellation, modification, or rectification communication for an already filed/registered paper, so that the registration office records the later change.</w:t>
      </w:r>
    </w:p>
    <w:p>
      <w:pPr>
        <w:spacing w:after="160" w:before="40"/>
      </w:pPr>
      <w:r>
        <w:rPr>
          <w:rFonts w:ascii="Segoe UI" w:hAnsi="Segoe UI" w:eastAsia="Segoe UI"/>
          <w:b/>
          <w:sz w:val="21"/>
        </w:rPr>
        <w:t xml:space="preserve">US-17.6. </w:t>
      </w:r>
      <w:r>
        <w:rPr>
          <w:rFonts w:ascii="Segoe UI" w:hAnsi="Segoe UI" w:eastAsia="Segoe UI"/>
          <w:b w:val="0"/>
          <w:sz w:val="21"/>
        </w:rPr>
        <w:t>As a Sub-Registrar / DEO, I want to file that communication under Rule 17(iii) and cross-link it to the original entry, so that anyone searching later can see the document was cancelled, modified, or corrected.</w:t>
      </w:r>
    </w:p>
    <w:p>
      <w:pPr>
        <w:spacing w:after="120" w:before="280"/>
      </w:pPr>
      <w:r>
        <w:rPr>
          <w:rFonts w:ascii="Segoe UI" w:hAnsi="Segoe UI" w:eastAsia="Segoe UI"/>
          <w:b/>
          <w:color w:val="2E75B6"/>
          <w:sz w:val="28"/>
        </w:rPr>
        <w:t>5.6 Open query (from source)</w:t>
      </w:r>
    </w:p>
    <w:p>
      <w:pPr>
        <w:pStyle w:val="ListBullet"/>
        <w:spacing w:after="60"/>
      </w:pPr>
      <w:r>
        <w:rPr>
          <w:rFonts w:ascii="Segoe UI" w:hAnsi="Segoe UI" w:eastAsia="Segoe UI"/>
          <w:b w:val="0"/>
          <w:sz w:val="21"/>
        </w:rPr>
        <w:t>If paperless, whether the template should be generated for the required languages.</w:t>
      </w:r>
    </w:p>
    <w:p>
      <w:r>
        <w:br w:type="page"/>
      </w:r>
    </w:p>
    <w:p>
      <w:pPr>
        <w:spacing w:after="120" w:before="280"/>
      </w:pPr>
      <w:r>
        <w:rPr>
          <w:rFonts w:ascii="Segoe UI" w:hAnsi="Segoe UI" w:eastAsia="Segoe UI"/>
          <w:b/>
          <w:color w:val="1F4E79"/>
          <w:sz w:val="36"/>
        </w:rPr>
        <w:t>Appendix — Scope note</w:t>
      </w:r>
    </w:p>
    <w:p>
      <w:pPr>
        <w:pStyle w:val="ListBullet"/>
        <w:spacing w:after="60"/>
      </w:pPr>
      <w:r>
        <w:rPr>
          <w:rFonts w:ascii="Segoe UI" w:hAnsi="Segoe UI" w:eastAsia="Segoe UI"/>
          <w:b w:val="0"/>
          <w:sz w:val="21"/>
        </w:rPr>
        <w:t>This consolidation is date-wise and limited to the five named daily reports.</w:t>
      </w:r>
    </w:p>
    <w:p>
      <w:pPr>
        <w:pStyle w:val="ListBullet"/>
        <w:spacing w:after="60"/>
      </w:pPr>
      <w:r>
        <w:rPr>
          <w:rFonts w:ascii="Segoe UI" w:hAnsi="Segoe UI" w:eastAsia="Segoe UI"/>
          <w:b w:val="0"/>
          <w:sz w:val="21"/>
        </w:rPr>
        <w:t>Business re-engineering content (Document_Registration_Business_Re-Engineering_Document.docx) is intentionally excluded.</w:t>
      </w:r>
    </w:p>
    <w:p>
      <w:pPr>
        <w:pStyle w:val="ListBullet"/>
        <w:spacing w:after="60"/>
      </w:pPr>
      <w:r>
        <w:rPr>
          <w:rFonts w:ascii="Segoe UI" w:hAnsi="Segoe UI" w:eastAsia="Segoe UI"/>
          <w:b w:val="0"/>
          <w:sz w:val="21"/>
        </w:rPr>
        <w:t>User stories for 25-08, 27-08 and 28-08 were derived from discussion sections where the source notes did not yet include a User Stories section; 01-09 and 02-09 user stories are taken from the source documents.</w:t>
      </w:r>
    </w:p>
    <w:p>
      <w:pPr>
        <w:pStyle w:val="ListBullet"/>
        <w:spacing w:after="60"/>
      </w:pPr>
      <w:r>
        <w:rPr>
          <w:rFonts w:ascii="Segoe UI" w:hAnsi="Segoe UI" w:eastAsia="Segoe UI"/>
          <w:b w:val="0"/>
          <w:sz w:val="21"/>
        </w:rPr>
        <w:t>Pain-point ticket numbers are as recorded in the source daily reports / ServiceDesk mapping.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