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7840"/>
      </w:tblGrid>
      <w:tr w:rsidR="00D951F4" w:rsidTr="00D951F4">
        <w:tc>
          <w:tcPr>
            <w:tcW w:w="704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8312" w:type="dxa"/>
          </w:tcPr>
          <w:p w:rsidR="00D951F4" w:rsidRDefault="00331817" w:rsidP="003318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-08-2026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to </w:t>
            </w:r>
            <w:r w:rsidR="00D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27-08-2026</w:t>
            </w:r>
          </w:p>
        </w:tc>
      </w:tr>
      <w:tr w:rsidR="00D951F4" w:rsidTr="00D951F4">
        <w:tc>
          <w:tcPr>
            <w:tcW w:w="704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Topics</w:t>
            </w:r>
          </w:p>
        </w:tc>
        <w:tc>
          <w:tcPr>
            <w:tcW w:w="8312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core: Registration, Appointment, Status tracking (Current issues &amp; process walkthrough)</w:t>
            </w:r>
          </w:p>
        </w:tc>
      </w:tr>
      <w:tr w:rsidR="00D951F4" w:rsidTr="00D951F4">
        <w:tc>
          <w:tcPr>
            <w:tcW w:w="704" w:type="dxa"/>
          </w:tcPr>
          <w:p w:rsidR="00D951F4" w:rsidRDefault="00D91D56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Attendees</w:t>
            </w:r>
          </w:p>
        </w:tc>
        <w:tc>
          <w:tcPr>
            <w:tcW w:w="8312" w:type="dxa"/>
          </w:tcPr>
          <w:p w:rsidR="00D951F4" w:rsidRDefault="00D91D56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Kaveri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 Cell, AIGR Comp, Project Manager, Assistant Manage (CMS)</w:t>
            </w:r>
          </w:p>
        </w:tc>
      </w:tr>
      <w:tr w:rsidR="00D951F4" w:rsidTr="00D951F4">
        <w:tc>
          <w:tcPr>
            <w:tcW w:w="704" w:type="dxa"/>
          </w:tcPr>
          <w:p w:rsidR="00D951F4" w:rsidRDefault="00D91D56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8312" w:type="dxa"/>
          </w:tcPr>
          <w:p w:rsidR="00D951F4" w:rsidRDefault="00D91D56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1.1 (04-09-2026) — Acts, Rules, notifications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ServiceDesk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pain points added for Registration, Appointment, Status tracking</w:t>
            </w:r>
          </w:p>
        </w:tc>
      </w:tr>
    </w:tbl>
    <w:p w:rsidR="00D951F4" w:rsidRDefault="00D951F4" w:rsidP="000B7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51F4" w:rsidRPr="005A77DF" w:rsidRDefault="00D951F4" w:rsidP="005A77D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7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Classification</w:t>
      </w:r>
    </w:p>
    <w:p w:rsidR="00D951F4" w:rsidRPr="00D951F4" w:rsidRDefault="00D951F4" w:rsidP="00D95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Article/Sub-Article Selection: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Upgrade the current standard dropdown menus to a more intuitive, requirement-based selection interface to improve the citizen experience.</w:t>
      </w:r>
    </w:p>
    <w:p w:rsidR="00D951F4" w:rsidRPr="00D951F4" w:rsidRDefault="00D951F4" w:rsidP="00D95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Village Index Selection</w:t>
      </w:r>
    </w:p>
    <w:p w:rsidR="00D951F4" w:rsidRPr="00D951F4" w:rsidRDefault="00D951F4" w:rsidP="00D95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Geofencing</w:t>
      </w:r>
      <w:proofErr w:type="spellEnd"/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Evaluate the technical feasibility of implementing </w:t>
      </w:r>
      <w:proofErr w:type="spellStart"/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>geofencing</w:t>
      </w:r>
      <w:proofErr w:type="spellEnd"/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location accuracy.</w:t>
      </w:r>
    </w:p>
    <w:p w:rsidR="00D951F4" w:rsidRPr="00D951F4" w:rsidRDefault="00D951F4" w:rsidP="00D95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KSRSAC Integration: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 with KSRSAC to automatically retrieve and populate Index-II village details.</w:t>
      </w:r>
    </w:p>
    <w:p w:rsidR="00D951F4" w:rsidRPr="00D951F4" w:rsidRDefault="00D951F4" w:rsidP="00D95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Property Details Interface</w:t>
      </w:r>
    </w:p>
    <w:p w:rsidR="00D951F4" w:rsidRPr="00D951F4" w:rsidRDefault="00D951F4" w:rsidP="00D951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Boundary Fields: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the "East to West" and "North to South" text fields specifically for agricultural properties.</w:t>
      </w:r>
    </w:p>
    <w:p w:rsidR="00D951F4" w:rsidRPr="00D951F4" w:rsidRDefault="00D951F4" w:rsidP="00D951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Mapping: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 feature to display the property map visually, indicating the East, West, North, and South boundaries.</w:t>
      </w:r>
    </w:p>
    <w:p w:rsidR="00D951F4" w:rsidRPr="00D951F4" w:rsidRDefault="00D951F4" w:rsidP="00D95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Party Information Interface</w:t>
      </w:r>
    </w:p>
    <w:p w:rsidR="00D951F4" w:rsidRPr="00D951F4" w:rsidRDefault="00D951F4" w:rsidP="00D95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Role Labels: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party labels automatically based on the transaction type (e.g., display "Seller and Purchaser" for sales, or "Donor and </w:t>
      </w:r>
      <w:proofErr w:type="spellStart"/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>Donee</w:t>
      </w:r>
      <w:proofErr w:type="spellEnd"/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>" for gifts).</w:t>
      </w:r>
    </w:p>
    <w:p w:rsidR="00D951F4" w:rsidRPr="00D951F4" w:rsidRDefault="00D951F4" w:rsidP="00D95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Aadhaar</w:t>
      </w:r>
      <w:proofErr w:type="spellEnd"/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Integration: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 service-specific SMS/message templates for </w:t>
      </w:r>
      <w:proofErr w:type="spellStart"/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</w:t>
      </w:r>
      <w:proofErr w:type="spellEnd"/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OTP authentication.</w:t>
      </w:r>
    </w:p>
    <w:p w:rsidR="00D951F4" w:rsidRPr="00D951F4" w:rsidRDefault="00D951F4" w:rsidP="00D95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Form Logic: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Auto-populate the gender field based on the user's selected salutation.</w:t>
      </w:r>
    </w:p>
    <w:p w:rsidR="00D951F4" w:rsidRPr="00D951F4" w:rsidRDefault="00D951F4" w:rsidP="00D95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Scheduling: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 the schedule allocation feature to appear only for transaction types that explicitly require it, hiding it for all others.</w:t>
      </w:r>
    </w:p>
    <w:p w:rsidR="00D951F4" w:rsidRPr="00D951F4" w:rsidRDefault="00D951F4" w:rsidP="00D95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Property Valuation</w:t>
      </w:r>
    </w:p>
    <w:p w:rsidR="00D951F4" w:rsidRPr="00D951F4" w:rsidRDefault="00D951F4" w:rsidP="00D95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Interface Streamlining: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Hide the base valuation rate from citizens. Users should only be required to select the property's physical characteristics (e.g., commercial, residential, dry, wet) to proceed.</w:t>
      </w:r>
    </w:p>
    <w:p w:rsidR="00D951F4" w:rsidRPr="00D951F4" w:rsidRDefault="00D951F4" w:rsidP="00D95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Review and Submission</w:t>
      </w:r>
    </w:p>
    <w:p w:rsidR="00D951F4" w:rsidRPr="00D951F4" w:rsidRDefault="00D951F4" w:rsidP="00D951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Captions: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the "Consideration Amount" field label changes dynamically based on the nature of the document being submitted.</w:t>
      </w:r>
    </w:p>
    <w:p w:rsidR="00D951F4" w:rsidRPr="000B7685" w:rsidRDefault="00D951F4" w:rsidP="00EF5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Pre-Submission Preview: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Mandate a comprehensive document summary preview for the applicant to review before finalizing their submission for verification.</w:t>
      </w:r>
    </w:p>
    <w:p w:rsidR="009B3EFA" w:rsidRDefault="009B3EFA"/>
    <w:p w:rsidR="009B3EFA" w:rsidRDefault="005A77DF">
      <w:r>
        <w:rPr>
          <w:rFonts w:ascii="Segoe UI" w:hAnsi="Segoe UI"/>
          <w:b/>
          <w:sz w:val="29"/>
        </w:rPr>
        <w:t>1. Primary 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B3EFA">
        <w:tc>
          <w:tcPr>
            <w:tcW w:w="3009" w:type="dxa"/>
            <w:shd w:val="clear" w:color="auto" w:fill="D9E2F3"/>
          </w:tcPr>
          <w:p w:rsidR="009B3EFA" w:rsidRDefault="005A77DF">
            <w:r>
              <w:t>Act</w:t>
            </w:r>
          </w:p>
        </w:tc>
        <w:tc>
          <w:tcPr>
            <w:tcW w:w="3009" w:type="dxa"/>
            <w:shd w:val="clear" w:color="auto" w:fill="D9E2F3"/>
          </w:tcPr>
          <w:p w:rsidR="009B3EFA" w:rsidRDefault="005A77DF">
            <w:r>
              <w:t>Sections</w:t>
            </w:r>
          </w:p>
        </w:tc>
        <w:tc>
          <w:tcPr>
            <w:tcW w:w="3009" w:type="dxa"/>
            <w:shd w:val="clear" w:color="auto" w:fill="D9E2F3"/>
          </w:tcPr>
          <w:p w:rsidR="009B3EFA" w:rsidRDefault="005A77DF">
            <w:r>
              <w:t>Relevance</w:t>
            </w:r>
          </w:p>
        </w:tc>
      </w:tr>
      <w:tr w:rsidR="009B3EFA">
        <w:tc>
          <w:tcPr>
            <w:tcW w:w="3009" w:type="dxa"/>
          </w:tcPr>
          <w:p w:rsidR="009B3EFA" w:rsidRDefault="005A77DF">
            <w:r>
              <w:t xml:space="preserve">The Registration Act, 1908 (Central </w:t>
            </w:r>
            <w:r>
              <w:t>Act 16 of 1908)</w:t>
            </w:r>
          </w:p>
        </w:tc>
        <w:tc>
          <w:tcPr>
            <w:tcW w:w="3009" w:type="dxa"/>
          </w:tcPr>
          <w:p w:rsidR="009B3EFA" w:rsidRDefault="005A77DF">
            <w:r>
              <w:t>Secs. 17–22, 23, 25, 28–35, 51–52, 58–61, 71–77, 78</w:t>
            </w:r>
          </w:p>
        </w:tc>
        <w:tc>
          <w:tcPr>
            <w:tcW w:w="3009" w:type="dxa"/>
          </w:tcPr>
          <w:p w:rsidR="009B3EFA" w:rsidRDefault="005A77DF">
            <w:r>
              <w:t>Compulsory / optional registration; presentation time &amp; place; examination; endorsements &amp; Sec. 60 certificate; refusal / appeal; registration fees — core Registration and Status tracking</w:t>
            </w:r>
          </w:p>
        </w:tc>
      </w:tr>
      <w:tr w:rsidR="009B3EFA">
        <w:tc>
          <w:tcPr>
            <w:tcW w:w="3009" w:type="dxa"/>
          </w:tcPr>
          <w:p w:rsidR="009B3EFA" w:rsidRDefault="005A77DF">
            <w:r>
              <w:t>The Registration Act, 1908</w:t>
            </w:r>
          </w:p>
        </w:tc>
        <w:tc>
          <w:tcPr>
            <w:tcW w:w="3009" w:type="dxa"/>
          </w:tcPr>
          <w:p w:rsidR="009B3EFA" w:rsidRDefault="005A77DF">
            <w:r>
              <w:t>Secs. 5–7, 10–12, 28–31</w:t>
            </w:r>
          </w:p>
        </w:tc>
        <w:tc>
          <w:tcPr>
            <w:tcW w:w="3009" w:type="dxa"/>
          </w:tcPr>
          <w:p w:rsidR="009B3EFA" w:rsidRDefault="005A77DF">
            <w:r>
              <w:t>Districts / sub-districts; Registrars &amp; Sub-Registrars; place of registration — Appointment office selection and jurisdiction routing</w:t>
            </w:r>
          </w:p>
        </w:tc>
      </w:tr>
      <w:tr w:rsidR="009B3EFA">
        <w:tc>
          <w:tcPr>
            <w:tcW w:w="3009" w:type="dxa"/>
          </w:tcPr>
          <w:p w:rsidR="009B3EFA" w:rsidRDefault="005A77DF">
            <w:r>
              <w:t>The Registration (Karnataka Amendment) Act, 2023 (Karnataka Act 47 of</w:t>
            </w:r>
            <w:r>
              <w:t xml:space="preserve"> 2024)</w:t>
            </w:r>
          </w:p>
        </w:tc>
        <w:tc>
          <w:tcPr>
            <w:tcW w:w="3009" w:type="dxa"/>
          </w:tcPr>
          <w:p w:rsidR="009B3EFA" w:rsidRDefault="005A77DF">
            <w:r>
              <w:t>Secs. 22-B, 22-C, 22-D, 81-A, 81-B</w:t>
            </w:r>
          </w:p>
        </w:tc>
        <w:tc>
          <w:tcPr>
            <w:tcW w:w="3009" w:type="dxa"/>
          </w:tcPr>
          <w:p w:rsidR="009B3EFA" w:rsidRDefault="005A77DF">
            <w:r>
              <w:t>Refusal / cancellation of forged or prohibited documents; appeal; penalties — registration intake validation</w:t>
            </w:r>
          </w:p>
        </w:tc>
      </w:tr>
      <w:tr w:rsidR="009B3EFA">
        <w:tc>
          <w:tcPr>
            <w:tcW w:w="3009" w:type="dxa"/>
          </w:tcPr>
          <w:p w:rsidR="009B3EFA" w:rsidRDefault="005A77DF">
            <w:r>
              <w:t>The Karnataka Stamp Act, 1957</w:t>
            </w:r>
          </w:p>
        </w:tc>
        <w:tc>
          <w:tcPr>
            <w:tcW w:w="3009" w:type="dxa"/>
          </w:tcPr>
          <w:p w:rsidR="009B3EFA" w:rsidRDefault="005A77DF">
            <w:r>
              <w:t>Secs. 3, 10, 33–39, 45-A, Schedule</w:t>
            </w:r>
          </w:p>
        </w:tc>
        <w:tc>
          <w:tcPr>
            <w:tcW w:w="3009" w:type="dxa"/>
          </w:tcPr>
          <w:p w:rsidR="009B3EFA" w:rsidRDefault="005A77DF">
            <w:r>
              <w:t xml:space="preserve">Stamp duty chargeable; payment modes; </w:t>
            </w:r>
            <w:r>
              <w:t>impounding; undervaluation reference — touched in 28-08 discussion (stamp duty / guidance value / impound)</w:t>
            </w:r>
          </w:p>
        </w:tc>
      </w:tr>
      <w:tr w:rsidR="009B3EFA">
        <w:tc>
          <w:tcPr>
            <w:tcW w:w="3009" w:type="dxa"/>
          </w:tcPr>
          <w:p w:rsidR="009B3EFA" w:rsidRDefault="005A77DF">
            <w:r>
              <w:t>The Transfer of Property Act, 1882</w:t>
            </w:r>
          </w:p>
        </w:tc>
        <w:tc>
          <w:tcPr>
            <w:tcW w:w="3009" w:type="dxa"/>
          </w:tcPr>
          <w:p w:rsidR="009B3EFA" w:rsidRDefault="005A77DF">
            <w:r>
              <w:t>Sec. 54</w:t>
            </w:r>
          </w:p>
        </w:tc>
        <w:tc>
          <w:tcPr>
            <w:tcW w:w="3009" w:type="dxa"/>
          </w:tcPr>
          <w:p w:rsidR="009B3EFA" w:rsidRDefault="005A77DF">
            <w:r>
              <w:t>Sale of immovable property of value &gt; ₹100 requires registered instrument — drives Article / transaction-</w:t>
            </w:r>
            <w:r>
              <w:t>type selection for conveyance</w:t>
            </w:r>
          </w:p>
        </w:tc>
      </w:tr>
    </w:tbl>
    <w:p w:rsidR="009B3EFA" w:rsidRDefault="009B3EFA"/>
    <w:p w:rsidR="009B3EFA" w:rsidRDefault="005A77DF">
      <w:r>
        <w:rPr>
          <w:rFonts w:ascii="Segoe UI" w:hAnsi="Segoe UI"/>
          <w:b/>
          <w:sz w:val="29"/>
        </w:rPr>
        <w:t>2. Primary Rules — Karnataka Registration Rules, 1965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B3EFA">
        <w:tc>
          <w:tcPr>
            <w:tcW w:w="3009" w:type="dxa"/>
            <w:shd w:val="clear" w:color="auto" w:fill="D9E2F3"/>
          </w:tcPr>
          <w:p w:rsidR="009B3EFA" w:rsidRDefault="005A77DF">
            <w:r>
              <w:t>Rule</w:t>
            </w:r>
          </w:p>
        </w:tc>
        <w:tc>
          <w:tcPr>
            <w:tcW w:w="3009" w:type="dxa"/>
            <w:shd w:val="clear" w:color="auto" w:fill="D9E2F3"/>
          </w:tcPr>
          <w:p w:rsidR="009B3EFA" w:rsidRDefault="005A77DF">
            <w:r>
              <w:t>Key provisions</w:t>
            </w:r>
          </w:p>
        </w:tc>
        <w:tc>
          <w:tcPr>
            <w:tcW w:w="3009" w:type="dxa"/>
            <w:shd w:val="clear" w:color="auto" w:fill="D9E2F3"/>
          </w:tcPr>
          <w:p w:rsidR="009B3EFA" w:rsidRDefault="005A77DF">
            <w:r>
              <w:t>Relevance to topic</w:t>
            </w:r>
          </w:p>
        </w:tc>
      </w:tr>
      <w:tr w:rsidR="009B3EFA">
        <w:tc>
          <w:tcPr>
            <w:tcW w:w="3009" w:type="dxa"/>
          </w:tcPr>
          <w:p w:rsidR="009B3EFA" w:rsidRDefault="005A77DF">
            <w:r>
              <w:t>Karnataka Registration Rules, 1965 — Ch. II</w:t>
            </w:r>
          </w:p>
        </w:tc>
        <w:tc>
          <w:tcPr>
            <w:tcW w:w="3009" w:type="dxa"/>
          </w:tcPr>
          <w:p w:rsidR="009B3EFA" w:rsidRDefault="005A77DF">
            <w:r>
              <w:t>Rules 3, 5</w:t>
            </w:r>
          </w:p>
        </w:tc>
        <w:tc>
          <w:tcPr>
            <w:tcW w:w="3009" w:type="dxa"/>
          </w:tcPr>
          <w:p w:rsidR="009B3EFA" w:rsidRDefault="005A77DF">
            <w:r>
              <w:t>Office hours and holidays — Appointment / slot calendar</w:t>
            </w:r>
          </w:p>
        </w:tc>
      </w:tr>
      <w:tr w:rsidR="009B3EFA">
        <w:tc>
          <w:tcPr>
            <w:tcW w:w="3009" w:type="dxa"/>
          </w:tcPr>
          <w:p w:rsidR="009B3EFA" w:rsidRDefault="005A77DF">
            <w:r>
              <w:t xml:space="preserve">Karnataka </w:t>
            </w:r>
            <w:r>
              <w:t>Registration Rules, 1965 — Ch. VI</w:t>
            </w:r>
          </w:p>
        </w:tc>
        <w:tc>
          <w:tcPr>
            <w:tcW w:w="3009" w:type="dxa"/>
          </w:tcPr>
          <w:p w:rsidR="009B3EFA" w:rsidRDefault="005A77DF">
            <w:r>
              <w:t>Rules 13–15</w:t>
            </w:r>
          </w:p>
        </w:tc>
        <w:tc>
          <w:tcPr>
            <w:tcW w:w="3009" w:type="dxa"/>
          </w:tcPr>
          <w:p w:rsidR="009B3EFA" w:rsidRDefault="005A77DF">
            <w:r>
              <w:t>Territorial divisions; survey / city survey description — Village Index and property details (KSRSAC / GIS)</w:t>
            </w:r>
          </w:p>
        </w:tc>
      </w:tr>
      <w:tr w:rsidR="009B3EFA">
        <w:tc>
          <w:tcPr>
            <w:tcW w:w="3009" w:type="dxa"/>
          </w:tcPr>
          <w:p w:rsidR="009B3EFA" w:rsidRDefault="005A77DF">
            <w:r>
              <w:t>Karnataka Registration Rules, 1965 — Ch. IX</w:t>
            </w:r>
          </w:p>
        </w:tc>
        <w:tc>
          <w:tcPr>
            <w:tcW w:w="3009" w:type="dxa"/>
          </w:tcPr>
          <w:p w:rsidR="009B3EFA" w:rsidRDefault="005A77DF">
            <w:r>
              <w:t>Rules 37, 40–46, 51–55</w:t>
            </w:r>
          </w:p>
        </w:tc>
        <w:tc>
          <w:tcPr>
            <w:tcW w:w="3009" w:type="dxa"/>
          </w:tcPr>
          <w:p w:rsidR="009B3EFA" w:rsidRDefault="005A77DF">
            <w:r>
              <w:t xml:space="preserve">Office where document may be </w:t>
            </w:r>
            <w:r>
              <w:t xml:space="preserve">registered; presentation; examination; endorsement; suspension (fine / stamp); </w:t>
            </w:r>
            <w:r>
              <w:lastRenderedPageBreak/>
              <w:t>condonation — Registration &amp; Status</w:t>
            </w:r>
          </w:p>
        </w:tc>
      </w:tr>
      <w:tr w:rsidR="009B3EFA">
        <w:tc>
          <w:tcPr>
            <w:tcW w:w="3009" w:type="dxa"/>
          </w:tcPr>
          <w:p w:rsidR="009B3EFA" w:rsidRDefault="005A77DF">
            <w:r>
              <w:lastRenderedPageBreak/>
              <w:t>Karnataka Registration Rules, 1965 — Ch. XII / XVI</w:t>
            </w:r>
          </w:p>
        </w:tc>
        <w:tc>
          <w:tcPr>
            <w:tcW w:w="3009" w:type="dxa"/>
          </w:tcPr>
          <w:p w:rsidR="009B3EFA" w:rsidRDefault="005A77DF">
            <w:r>
              <w:t>Rules 71–73, 78–79, 94, 104</w:t>
            </w:r>
          </w:p>
        </w:tc>
        <w:tc>
          <w:tcPr>
            <w:tcW w:w="3009" w:type="dxa"/>
          </w:tcPr>
          <w:p w:rsidR="009B3EFA" w:rsidRDefault="005A77DF">
            <w:r>
              <w:t>Executant examination; thumb impression / photograph; endorse</w:t>
            </w:r>
            <w:r>
              <w:t>ments; Sec. 60 certificate — Registration completion</w:t>
            </w:r>
          </w:p>
        </w:tc>
      </w:tr>
      <w:tr w:rsidR="009B3EFA">
        <w:tc>
          <w:tcPr>
            <w:tcW w:w="3009" w:type="dxa"/>
          </w:tcPr>
          <w:p w:rsidR="009B3EFA" w:rsidRDefault="005A77DF">
            <w:r>
              <w:t>Karnataka Registration Rules, 1965 — Ch. XVII / XXV</w:t>
            </w:r>
          </w:p>
        </w:tc>
        <w:tc>
          <w:tcPr>
            <w:tcW w:w="3009" w:type="dxa"/>
          </w:tcPr>
          <w:p w:rsidR="009B3EFA" w:rsidRDefault="005A77DF">
            <w:r>
              <w:t>Rules 110–118, 175–188</w:t>
            </w:r>
          </w:p>
        </w:tc>
        <w:tc>
          <w:tcPr>
            <w:tcW w:w="3009" w:type="dxa"/>
          </w:tcPr>
          <w:p w:rsidR="009B3EFA" w:rsidRDefault="005A77DF">
            <w:r>
              <w:t>Receipts; return of document; appeal against refusal — Status tracking termini</w:t>
            </w:r>
          </w:p>
        </w:tc>
      </w:tr>
      <w:tr w:rsidR="009B3EFA">
        <w:tc>
          <w:tcPr>
            <w:tcW w:w="3009" w:type="dxa"/>
          </w:tcPr>
          <w:p w:rsidR="009B3EFA" w:rsidRDefault="005A77DF">
            <w:r>
              <w:t>Karnataka Stamp Rules, 1958 / e-Stamping Rules,</w:t>
            </w:r>
            <w:r>
              <w:t xml:space="preserve"> 2009</w:t>
            </w:r>
          </w:p>
        </w:tc>
        <w:tc>
          <w:tcPr>
            <w:tcW w:w="3009" w:type="dxa"/>
          </w:tcPr>
          <w:p w:rsidR="009B3EFA" w:rsidRDefault="005A77DF">
            <w:r>
              <w:t>Stamp payment procedures</w:t>
            </w:r>
          </w:p>
        </w:tc>
        <w:tc>
          <w:tcPr>
            <w:tcW w:w="3009" w:type="dxa"/>
          </w:tcPr>
          <w:p w:rsidR="009B3EFA" w:rsidRDefault="005A77DF">
            <w:r>
              <w:t>Impressed / franking / e-Stamp at presentation — Payment visibility (28-08)</w:t>
            </w:r>
          </w:p>
        </w:tc>
      </w:tr>
    </w:tbl>
    <w:p w:rsidR="009B3EFA" w:rsidRDefault="009B3EFA"/>
    <w:p w:rsidR="009B3EFA" w:rsidRDefault="005A77DF">
      <w:r>
        <w:rPr>
          <w:rFonts w:ascii="Segoe UI" w:hAnsi="Segoe UI"/>
          <w:b/>
          <w:sz w:val="29"/>
        </w:rPr>
        <w:t>3. Notifications / amendments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7"/>
        <w:gridCol w:w="3004"/>
        <w:gridCol w:w="3005"/>
      </w:tblGrid>
      <w:tr w:rsidR="009B3EFA">
        <w:tc>
          <w:tcPr>
            <w:tcW w:w="3009" w:type="dxa"/>
            <w:shd w:val="clear" w:color="auto" w:fill="D9E2F3"/>
          </w:tcPr>
          <w:p w:rsidR="009B3EFA" w:rsidRDefault="005A77DF">
            <w:r>
              <w:t>Instrument</w:t>
            </w:r>
          </w:p>
        </w:tc>
        <w:tc>
          <w:tcPr>
            <w:tcW w:w="3009" w:type="dxa"/>
            <w:shd w:val="clear" w:color="auto" w:fill="D9E2F3"/>
          </w:tcPr>
          <w:p w:rsidR="009B3EFA" w:rsidRDefault="005A77DF">
            <w:r>
              <w:t>Effect</w:t>
            </w:r>
          </w:p>
        </w:tc>
        <w:tc>
          <w:tcPr>
            <w:tcW w:w="3009" w:type="dxa"/>
            <w:shd w:val="clear" w:color="auto" w:fill="D9E2F3"/>
          </w:tcPr>
          <w:p w:rsidR="009B3EFA" w:rsidRDefault="005A77DF">
            <w:r>
              <w:t>Relevance</w:t>
            </w:r>
          </w:p>
        </w:tc>
      </w:tr>
      <w:tr w:rsidR="009B3EFA">
        <w:tc>
          <w:tcPr>
            <w:tcW w:w="3009" w:type="dxa"/>
          </w:tcPr>
          <w:p w:rsidR="009B3EFA" w:rsidRDefault="005A77DF">
            <w:r>
              <w:t>RGN 2/2002-03 (1 Apr 2002; w.e.f. 4 Apr 2002)</w:t>
            </w:r>
          </w:p>
        </w:tc>
        <w:tc>
          <w:tcPr>
            <w:tcW w:w="3009" w:type="dxa"/>
          </w:tcPr>
          <w:p w:rsidR="009B3EFA" w:rsidRDefault="005A77DF">
            <w:r>
              <w:t xml:space="preserve">Rule 19-A document sheets; Rules </w:t>
            </w:r>
            <w:r>
              <w:t>22-A–22-C; Rule 40 photograph / digital photo</w:t>
            </w:r>
          </w:p>
        </w:tc>
        <w:tc>
          <w:tcPr>
            <w:tcW w:w="3009" w:type="dxa"/>
          </w:tcPr>
          <w:p w:rsidR="009B3EFA" w:rsidRDefault="005A77DF">
            <w:r>
              <w:t>Document format and photo at presentation</w:t>
            </w:r>
          </w:p>
        </w:tc>
      </w:tr>
      <w:tr w:rsidR="009B3EFA">
        <w:tc>
          <w:tcPr>
            <w:tcW w:w="3009" w:type="dxa"/>
          </w:tcPr>
          <w:p w:rsidR="009B3EFA" w:rsidRDefault="005A77DF">
            <w:r>
              <w:t>RD 403 ESR 85 (27 May 1986) as amended by RD/46/MNMU/2025 (29 Aug 2025)</w:t>
            </w:r>
          </w:p>
        </w:tc>
        <w:tc>
          <w:tcPr>
            <w:tcW w:w="3009" w:type="dxa"/>
          </w:tcPr>
          <w:p w:rsidR="009B3EFA" w:rsidRDefault="005A77DF">
            <w:r>
              <w:t>Table of Registration Fees under Sec. 78 — fee revision w.e.f. 31 Aug 2025</w:t>
            </w:r>
          </w:p>
        </w:tc>
        <w:tc>
          <w:tcPr>
            <w:tcW w:w="3009" w:type="dxa"/>
          </w:tcPr>
          <w:p w:rsidR="009B3EFA" w:rsidRDefault="005A77DF">
            <w:r>
              <w:t>Registration fee cal</w:t>
            </w:r>
            <w:r>
              <w:t>culator / payment amount</w:t>
            </w:r>
          </w:p>
        </w:tc>
      </w:tr>
      <w:tr w:rsidR="009B3EFA">
        <w:tc>
          <w:tcPr>
            <w:tcW w:w="3009" w:type="dxa"/>
          </w:tcPr>
          <w:p w:rsidR="009B3EFA" w:rsidRDefault="005A77DF">
            <w:r>
              <w:t>RD 380 MUNOMU 2008 (8 Apr 2009)</w:t>
            </w:r>
          </w:p>
        </w:tc>
        <w:tc>
          <w:tcPr>
            <w:tcW w:w="3009" w:type="dxa"/>
          </w:tcPr>
          <w:p w:rsidR="009B3EFA" w:rsidRDefault="005A77DF">
            <w:r>
              <w:t>Karnataka Stamp (Payment of Duty by Means of e-Stamping) Rules, 2009</w:t>
            </w:r>
          </w:p>
        </w:tc>
        <w:tc>
          <w:tcPr>
            <w:tcW w:w="3009" w:type="dxa"/>
          </w:tcPr>
          <w:p w:rsidR="009B3EFA" w:rsidRDefault="005A77DF">
            <w:r>
              <w:t>e-Stamp payment and verification at SRO</w:t>
            </w:r>
          </w:p>
        </w:tc>
      </w:tr>
      <w:tr w:rsidR="009B3EFA">
        <w:tc>
          <w:tcPr>
            <w:tcW w:w="3009" w:type="dxa"/>
          </w:tcPr>
          <w:p w:rsidR="009B3EFA" w:rsidRDefault="005A77DF">
            <w:r>
              <w:t>Stamp Act Sec. 45-B (Act 8 of 2003) / Undervaluation Rules, 1977 (GSR 81)</w:t>
            </w:r>
          </w:p>
        </w:tc>
        <w:tc>
          <w:tcPr>
            <w:tcW w:w="3009" w:type="dxa"/>
          </w:tcPr>
          <w:p w:rsidR="009B3EFA" w:rsidRDefault="005A77DF">
            <w:r>
              <w:t>CVC market val</w:t>
            </w:r>
            <w:r>
              <w:t>ue guidelines; Sec. 45-A reference / Form I</w:t>
            </w:r>
          </w:p>
        </w:tc>
        <w:tc>
          <w:tcPr>
            <w:tcW w:w="3009" w:type="dxa"/>
          </w:tcPr>
          <w:p w:rsidR="009B3EFA" w:rsidRDefault="005A77DF">
            <w:r>
              <w:t>Guidance value &amp; undervaluation / impound (noted on 28-08)</w:t>
            </w:r>
          </w:p>
        </w:tc>
      </w:tr>
    </w:tbl>
    <w:p w:rsidR="009B3EFA" w:rsidRDefault="009B3EFA"/>
    <w:p w:rsidR="009B3EFA" w:rsidRDefault="005A77DF">
      <w:r>
        <w:rPr>
          <w:rFonts w:ascii="Times New Roman" w:hAnsi="Times New Roman"/>
          <w:b/>
          <w:sz w:val="48"/>
        </w:rPr>
        <w:t>Pain Points</w:t>
      </w:r>
    </w:p>
    <w:p w:rsidR="009B3EFA" w:rsidRDefault="009B3EFA"/>
    <w:p w:rsidR="009B3EFA" w:rsidRDefault="005A77DF">
      <w:r>
        <w:rPr>
          <w:rFonts w:ascii="Segoe UI" w:hAnsi="Segoe UI"/>
          <w:b/>
          <w:sz w:val="29"/>
        </w:rPr>
        <w:t>Registration core — Registration, Appointment, Status tracking (aligned to 27-08 discussion notes)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B3EFA">
        <w:tc>
          <w:tcPr>
            <w:tcW w:w="4513" w:type="dxa"/>
            <w:shd w:val="clear" w:color="auto" w:fill="D9E2F3"/>
          </w:tcPr>
          <w:p w:rsidR="009B3EFA" w:rsidRDefault="005A77DF">
            <w:r>
              <w:rPr>
                <w:rFonts w:ascii="Times New Roman" w:hAnsi="Times New Roman"/>
                <w:b/>
                <w:sz w:val="24"/>
              </w:rPr>
              <w:t>Pain point</w:t>
            </w:r>
          </w:p>
        </w:tc>
        <w:tc>
          <w:tcPr>
            <w:tcW w:w="4513" w:type="dxa"/>
            <w:shd w:val="clear" w:color="auto" w:fill="D9E2F3"/>
          </w:tcPr>
          <w:p w:rsidR="009B3EFA" w:rsidRDefault="005A77DF">
            <w:r>
              <w:rPr>
                <w:rFonts w:ascii="Times New Roman" w:hAnsi="Times New Roman"/>
                <w:b/>
                <w:sz w:val="24"/>
              </w:rPr>
              <w:t xml:space="preserve">Evidence (tickets / </w:t>
            </w:r>
            <w:r>
              <w:rPr>
                <w:rFonts w:ascii="Times New Roman" w:hAnsi="Times New Roman"/>
                <w:b/>
                <w:sz w:val="24"/>
              </w:rPr>
              <w:t>categorized)</w:t>
            </w:r>
          </w:p>
        </w:tc>
      </w:tr>
      <w:tr w:rsidR="009B3EFA"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t>Article / sub-article selection &amp; instrument mapping</w:t>
            </w:r>
          </w:p>
        </w:tc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t>Release Deed Article Issue (17714); Stamp Duty wrong for partition sub-article 39-b (31257); Gift Deed stamp duty double (93306)</w:t>
            </w:r>
          </w:p>
        </w:tc>
      </w:tr>
      <w:tr w:rsidR="009B3EFA"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t>Village / Index / road master gaps</w:t>
            </w:r>
          </w:p>
        </w:tc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t xml:space="preserve">Village index absent / </w:t>
            </w:r>
            <w:r>
              <w:rPr>
                <w:rFonts w:ascii="Times New Roman" w:hAnsi="Times New Roman"/>
                <w:sz w:val="20"/>
              </w:rPr>
              <w:t>split villages (13949); road names wrong (95135); road option not showing for agriculture land (31819); Sy. No. not fetching from Bhoomi (20170, 30045); wrong village shown (29600)</w:t>
            </w:r>
          </w:p>
        </w:tc>
      </w:tr>
      <w:tr w:rsidR="009B3EFA"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t>Property schedule / boundary capture fails</w:t>
            </w:r>
          </w:p>
        </w:tc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t>Unable to save the property sch</w:t>
            </w:r>
            <w:r>
              <w:rPr>
                <w:rFonts w:ascii="Times New Roman" w:hAnsi="Times New Roman"/>
                <w:sz w:val="20"/>
              </w:rPr>
              <w:t xml:space="preserve">edule (24450); Unable to Save and Continue after 11E Sketch </w:t>
            </w:r>
            <w:r>
              <w:rPr>
                <w:rFonts w:ascii="Times New Roman" w:hAnsi="Times New Roman"/>
                <w:sz w:val="20"/>
              </w:rPr>
              <w:lastRenderedPageBreak/>
              <w:t>(24247); property details not in dept summary (95367)</w:t>
            </w:r>
          </w:p>
        </w:tc>
      </w:tr>
      <w:tr w:rsidR="009B3EFA"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lastRenderedPageBreak/>
              <w:t>Party information save / display errors</w:t>
            </w:r>
          </w:p>
        </w:tc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t>Unable to save party info (30276); claimant details missing in summary (25784, 28927, 29588); executa</w:t>
            </w:r>
            <w:r>
              <w:rPr>
                <w:rFonts w:ascii="Times New Roman" w:hAnsi="Times New Roman"/>
                <w:sz w:val="20"/>
              </w:rPr>
              <w:t>nt name showing None (22789); claimant photo at executant place (27709)</w:t>
            </w:r>
          </w:p>
        </w:tc>
      </w:tr>
      <w:tr w:rsidR="009B3EFA"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t>Property valuation / fee after valuation</w:t>
            </w:r>
          </w:p>
        </w:tc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t>Market valuation blank / not showing (29357, 29532, 27923); valuate → fee zero &amp; Save disabled (28596); fee zero in summary (26292)</w:t>
            </w:r>
          </w:p>
        </w:tc>
      </w:tr>
      <w:tr w:rsidR="009B3EFA"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t>Pre-submission summary / review broken</w:t>
            </w:r>
          </w:p>
        </w:tc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t>Unable to generate / view document summary (27360, 27805, 30609, 12009); consideration / market value wrong in summary (6187, 10531); sub-article name not in dept summary (92782); challan not in summary (31168, 29793)</w:t>
            </w:r>
          </w:p>
        </w:tc>
      </w:tr>
      <w:tr w:rsidR="009B3EFA"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t>Appointment / schedule after intake</w:t>
            </w:r>
          </w:p>
        </w:tc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t>Unable to Schedule for Appointment (27283, 30478, 30908); schedule not reflecting (28240); schedule option missing after payment (Categorized: 27283, 30478, 28812, 30908)</w:t>
            </w:r>
          </w:p>
        </w:tc>
      </w:tr>
      <w:tr w:rsidR="009B3EFA"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t>Status / step stuck after registration flow</w:t>
            </w:r>
          </w:p>
        </w:tc>
        <w:tc>
          <w:tcPr>
            <w:tcW w:w="4513" w:type="dxa"/>
          </w:tcPr>
          <w:p w:rsidR="009B3EFA" w:rsidRDefault="005A77DF">
            <w:r>
              <w:rPr>
                <w:rFonts w:ascii="Times New Roman" w:hAnsi="Times New Roman"/>
                <w:sz w:val="20"/>
              </w:rPr>
              <w:t>Ch</w:t>
            </w:r>
            <w:r>
              <w:rPr>
                <w:rFonts w:ascii="Times New Roman" w:hAnsi="Times New Roman"/>
                <w:sz w:val="20"/>
              </w:rPr>
              <w:t>eck and Register (Step 7) disabled (94299, 94264, 92559); applications stuck in Step 5 (23243, 25183); pending shows in Step 1 instead of Minute Book (22599, 31762)</w:t>
            </w:r>
          </w:p>
        </w:tc>
      </w:tr>
    </w:tbl>
    <w:p w:rsidR="009B3EFA" w:rsidRDefault="009B3EFA"/>
    <w:p w:rsidR="009B3EFA" w:rsidRDefault="005A77DF">
      <w:r>
        <w:rPr>
          <w:rFonts w:ascii="Segoe UI" w:hAnsi="Segoe UI"/>
          <w:b/>
          <w:sz w:val="27"/>
        </w:rPr>
        <w:t>Note:</w:t>
      </w:r>
      <w:r>
        <w:rPr>
          <w:rFonts w:ascii="Segoe UI" w:hAnsi="Segoe UI"/>
          <w:sz w:val="27"/>
        </w:rPr>
        <w:t xml:space="preserve"> Source: Requirement Discussions/ServiceDesk Issues/ServiceDeskIssuesList.xlsx (Over</w:t>
      </w:r>
      <w:r>
        <w:rPr>
          <w:rFonts w:ascii="Segoe UI" w:hAnsi="Segoe UI"/>
          <w:sz w:val="27"/>
        </w:rPr>
        <w:t>allList + Categorized). Topics map to Schedule Sr.12 sub-modules #1 Registration, #2 Appointment, #19 Status tracking; village / valuation notes from the 27-08 walkthrough are included where tickets exist.</w:t>
      </w:r>
    </w:p>
    <w:sectPr w:rsidR="009B3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0E5C"/>
    <w:multiLevelType w:val="hybridMultilevel"/>
    <w:tmpl w:val="2C94702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F85FD5"/>
    <w:multiLevelType w:val="multilevel"/>
    <w:tmpl w:val="82E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F726F"/>
    <w:multiLevelType w:val="hybridMultilevel"/>
    <w:tmpl w:val="9C0E5068"/>
    <w:lvl w:ilvl="0" w:tplc="A08A6F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70687"/>
    <w:multiLevelType w:val="multilevel"/>
    <w:tmpl w:val="15A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72738"/>
    <w:multiLevelType w:val="multilevel"/>
    <w:tmpl w:val="71A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05C2D"/>
    <w:multiLevelType w:val="multilevel"/>
    <w:tmpl w:val="DBD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C743F"/>
    <w:multiLevelType w:val="multilevel"/>
    <w:tmpl w:val="E97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251D6"/>
    <w:multiLevelType w:val="hybridMultilevel"/>
    <w:tmpl w:val="75640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96962"/>
    <w:multiLevelType w:val="multilevel"/>
    <w:tmpl w:val="5DA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C5170"/>
    <w:multiLevelType w:val="hybridMultilevel"/>
    <w:tmpl w:val="F2703986"/>
    <w:lvl w:ilvl="0" w:tplc="E5DA60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BB79D5"/>
    <w:multiLevelType w:val="multilevel"/>
    <w:tmpl w:val="484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10"/>
  </w:num>
  <w:num w:numId="8">
    <w:abstractNumId w:val="1"/>
  </w:num>
  <w:num w:numId="9">
    <w:abstractNumId w:val="8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685"/>
    <w:rsid w:val="000B7685"/>
    <w:rsid w:val="00331817"/>
    <w:rsid w:val="00505602"/>
    <w:rsid w:val="005A77DF"/>
    <w:rsid w:val="009B3EFA"/>
    <w:rsid w:val="00D91D56"/>
    <w:rsid w:val="00D951F4"/>
    <w:rsid w:val="00EE1B16"/>
    <w:rsid w:val="00FE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6510"/>
  <w15:chartTrackingRefBased/>
  <w15:docId w15:val="{63DB548C-105C-41B7-8DA9-F85EDC9D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B7685"/>
    <w:pPr>
      <w:ind w:left="720"/>
      <w:contextualSpacing/>
    </w:pPr>
  </w:style>
  <w:style w:type="table" w:styleId="TableGrid">
    <w:name w:val="Table Grid"/>
    <w:basedOn w:val="TableNormal"/>
    <w:uiPriority w:val="39"/>
    <w:rsid w:val="00D95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9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2026-08-28T10:15:00Z</dcterms:created>
  <dcterms:modified xsi:type="dcterms:W3CDTF">2026-09-08T12:09:00Z</dcterms:modified>
</cp:coreProperties>
</file>