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500"/>
      </w:tblGrid>
      <w:tr w:rsidR="002A0733">
        <w:tc>
          <w:tcPr>
            <w:tcW w:w="2000" w:type="dxa"/>
            <w:shd w:val="clear" w:color="auto" w:fill="D9D9D9"/>
          </w:tcPr>
          <w:p w:rsidR="002A0733" w:rsidRDefault="0068265D">
            <w:r>
              <w:rPr>
                <w:b/>
                <w:bCs/>
              </w:rPr>
              <w:t>Date</w:t>
            </w:r>
          </w:p>
        </w:tc>
        <w:tc>
          <w:tcPr>
            <w:tcW w:w="7500" w:type="dxa"/>
          </w:tcPr>
          <w:p w:rsidR="002A0733" w:rsidRDefault="0068265D">
            <w:r>
              <w:t>28-08-2026</w:t>
            </w:r>
            <w:r w:rsidR="00F61B62">
              <w:t xml:space="preserve"> to 29-09-2026</w:t>
            </w:r>
          </w:p>
        </w:tc>
      </w:tr>
      <w:tr w:rsidR="002A0733">
        <w:tc>
          <w:tcPr>
            <w:tcW w:w="2000" w:type="dxa"/>
            <w:shd w:val="clear" w:color="auto" w:fill="D9D9D9"/>
          </w:tcPr>
          <w:p w:rsidR="002A0733" w:rsidRDefault="0068265D">
            <w:r>
              <w:rPr>
                <w:b/>
                <w:bCs/>
              </w:rPr>
              <w:t>Topics</w:t>
            </w:r>
          </w:p>
        </w:tc>
        <w:tc>
          <w:tcPr>
            <w:tcW w:w="7500" w:type="dxa"/>
          </w:tcPr>
          <w:p w:rsidR="002A0733" w:rsidRDefault="0043472F">
            <w:r w:rsidRPr="0043472F">
              <w:t>Stamp duty and Registration fee calculation; Guideline value calculation</w:t>
            </w:r>
          </w:p>
        </w:tc>
      </w:tr>
      <w:tr w:rsidR="002A0733">
        <w:tc>
          <w:tcPr>
            <w:tcW w:w="2000" w:type="dxa"/>
            <w:shd w:val="clear" w:color="auto" w:fill="D9D9D9"/>
          </w:tcPr>
          <w:p w:rsidR="002A0733" w:rsidRDefault="0068265D">
            <w:r>
              <w:rPr>
                <w:b/>
                <w:bCs/>
              </w:rPr>
              <w:t>Attendees</w:t>
            </w:r>
          </w:p>
        </w:tc>
        <w:tc>
          <w:tcPr>
            <w:tcW w:w="7500" w:type="dxa"/>
          </w:tcPr>
          <w:p w:rsidR="002A0733" w:rsidRDefault="0068265D">
            <w:r>
              <w:t>Kaveri IT Cell, AIGR Comp, Project Manager, Assistant Manager (CMS)</w:t>
            </w:r>
          </w:p>
        </w:tc>
      </w:tr>
    </w:tbl>
    <w:p w:rsidR="002A0733" w:rsidRDefault="002A0733">
      <w:pPr>
        <w:spacing w:after="120"/>
      </w:pPr>
    </w:p>
    <w:p w:rsidR="002A0733" w:rsidRDefault="0068265D">
      <w:pPr>
        <w:spacing w:before="240" w:after="120"/>
      </w:pPr>
      <w:r>
        <w:rPr>
          <w:b/>
          <w:bCs/>
          <w:sz w:val="24"/>
          <w:szCs w:val="24"/>
        </w:rPr>
        <w:t>1. SR Level Approval Workflow</w:t>
      </w:r>
    </w:p>
    <w:p w:rsidR="002A0733" w:rsidRDefault="0068265D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Action Buttons: </w:t>
      </w:r>
      <w:r>
        <w:t>At the first level of approval from SR, provide two buttons – “Send to Applicant for Payment” and “Send Back for Correction.”</w:t>
      </w:r>
    </w:p>
    <w:p w:rsidR="002A0733" w:rsidRDefault="0068265D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Payment Visibility on Correction: </w:t>
      </w:r>
      <w:r>
        <w:t>If the application is sent back for correction, the payment option should not display in the employee login.</w:t>
      </w:r>
    </w:p>
    <w:p w:rsidR="002A0733" w:rsidRDefault="0068265D">
      <w:pPr>
        <w:spacing w:before="240" w:after="120"/>
      </w:pPr>
      <w:r>
        <w:rPr>
          <w:b/>
          <w:bCs/>
          <w:sz w:val="24"/>
          <w:szCs w:val="24"/>
        </w:rPr>
        <w:t>2. SRO Road Selection</w:t>
      </w:r>
    </w:p>
    <w:p w:rsidR="002A0733" w:rsidRDefault="0068265D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Under-Valuation &amp; Impound Workflow: </w:t>
      </w:r>
      <w:r>
        <w:t>For roads selected by the SRO, the under-valuation and impound workflow is to be built in Version 3.0.</w:t>
      </w:r>
    </w:p>
    <w:p w:rsidR="002A0733" w:rsidRDefault="0068265D">
      <w:pPr>
        <w:spacing w:before="240" w:after="120"/>
      </w:pPr>
      <w:r>
        <w:rPr>
          <w:b/>
          <w:bCs/>
          <w:sz w:val="24"/>
          <w:szCs w:val="24"/>
        </w:rPr>
        <w:t>3. Date &amp; Time Format</w:t>
      </w:r>
    </w:p>
    <w:p w:rsidR="002A0733" w:rsidRDefault="0068265D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Time Format Change: </w:t>
      </w:r>
      <w:r>
        <w:t>Change the date/time format from 24-hour to 12-hour format.</w:t>
      </w:r>
    </w:p>
    <w:p w:rsidR="002A0733" w:rsidRDefault="0068265D">
      <w:pPr>
        <w:spacing w:before="240" w:after="120"/>
      </w:pPr>
      <w:r>
        <w:rPr>
          <w:b/>
          <w:bCs/>
          <w:sz w:val="24"/>
          <w:szCs w:val="24"/>
        </w:rPr>
        <w:t>4. Slot Booking</w:t>
      </w:r>
    </w:p>
    <w:p w:rsidR="002A0733" w:rsidRDefault="0068265D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Tatkal Slot Booking: </w:t>
      </w:r>
      <w:r>
        <w:t>Provide provision to book a tatkal slot at the required time slot.</w:t>
      </w:r>
    </w:p>
    <w:p w:rsidR="002A0733" w:rsidRDefault="0068265D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Percentage-Based Amount: </w:t>
      </w:r>
      <w:r>
        <w:t>Provide provision to set the amount based on a percentage.</w:t>
      </w:r>
    </w:p>
    <w:p w:rsidR="002A0733" w:rsidRDefault="0068265D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Rescheduling with Fine: </w:t>
      </w:r>
      <w:r>
        <w:t>Rescheduling a fixed slot should happen with a fine – provision to be checked and understood further.</w:t>
      </w:r>
    </w:p>
    <w:p w:rsidR="002A0733" w:rsidRDefault="0068265D">
      <w:pPr>
        <w:spacing w:before="240" w:after="120"/>
      </w:pPr>
      <w:r>
        <w:rPr>
          <w:b/>
          <w:bCs/>
          <w:sz w:val="24"/>
          <w:szCs w:val="24"/>
        </w:rPr>
        <w:t>5. Payment Visibility</w:t>
      </w:r>
    </w:p>
    <w:p w:rsidR="002A0733" w:rsidRDefault="0068265D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Sub-Registrar Payment: </w:t>
      </w:r>
      <w:r>
        <w:t>Payment made in front of the Sub-Registrar should be projected more prominently to the citizen.</w:t>
      </w:r>
    </w:p>
    <w:p w:rsidR="002A0733" w:rsidRDefault="0068265D">
      <w:pPr>
        <w:spacing w:before="240" w:after="120"/>
      </w:pPr>
      <w:r>
        <w:rPr>
          <w:b/>
          <w:bCs/>
          <w:sz w:val="24"/>
          <w:szCs w:val="24"/>
        </w:rPr>
        <w:t>6. Withdrawal Workflow</w:t>
      </w:r>
    </w:p>
    <w:p w:rsidR="002A0733" w:rsidRDefault="0068265D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Simplify Withdrawal: </w:t>
      </w:r>
      <w:r>
        <w:t>The withdrawal option from allocation application to DEO should be made simple; workflow to be prepared.</w:t>
      </w:r>
    </w:p>
    <w:p w:rsidR="002A0733" w:rsidRDefault="0068265D">
      <w:pPr>
        <w:spacing w:before="240" w:after="120"/>
      </w:pPr>
      <w:r>
        <w:rPr>
          <w:b/>
          <w:bCs/>
          <w:sz w:val="24"/>
          <w:szCs w:val="24"/>
        </w:rPr>
        <w:t>7. Application Type Naming</w:t>
      </w:r>
    </w:p>
    <w:p w:rsidR="002A0733" w:rsidRDefault="0068265D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Renaming: </w:t>
      </w:r>
      <w:r>
        <w:t>Application type to be renamed as “transaction type” in the DEO login.</w:t>
      </w:r>
    </w:p>
    <w:p w:rsidR="002A0733" w:rsidRDefault="0068265D">
      <w:pPr>
        <w:spacing w:before="240" w:after="120"/>
      </w:pPr>
      <w:r>
        <w:rPr>
          <w:b/>
          <w:bCs/>
          <w:sz w:val="24"/>
          <w:szCs w:val="24"/>
        </w:rPr>
        <w:t>8. Application Number Display</w:t>
      </w:r>
    </w:p>
    <w:p w:rsidR="002A0733" w:rsidRDefault="0068265D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Consistent Display: </w:t>
      </w:r>
      <w:r>
        <w:t>Application number to be displayed throughout the application flow.</w:t>
      </w:r>
    </w:p>
    <w:p w:rsidR="00C4219F" w:rsidRDefault="00DC373E" w:rsidP="00DC373E">
      <w:pPr>
        <w:spacing w:after="120"/>
      </w:pPr>
      <w:r>
        <w:t xml:space="preserve">9. </w:t>
      </w:r>
      <w:r w:rsidRPr="00C4219F">
        <w:rPr>
          <w:b/>
          <w:bCs/>
        </w:rPr>
        <w:t>Calculations</w:t>
      </w:r>
      <w:r>
        <w:t xml:space="preserve"> </w:t>
      </w:r>
    </w:p>
    <w:p w:rsidR="00C4219F" w:rsidRDefault="00C4219F" w:rsidP="00C4219F">
      <w:pPr>
        <w:pStyle w:val="ListParagraph"/>
        <w:numPr>
          <w:ilvl w:val="0"/>
          <w:numId w:val="3"/>
        </w:numPr>
        <w:spacing w:after="120"/>
      </w:pPr>
      <w:r w:rsidRPr="00C4219F">
        <w:t xml:space="preserve">Stamp duty and registrar fee calculation - the stamp </w:t>
      </w:r>
      <w:r w:rsidR="00F63726">
        <w:t>calculation rules</w:t>
      </w:r>
      <w:r w:rsidRPr="00C4219F">
        <w:t xml:space="preserve"> has to be studied</w:t>
      </w:r>
    </w:p>
    <w:p w:rsidR="00C4219F" w:rsidRDefault="00C4219F" w:rsidP="00C4219F">
      <w:pPr>
        <w:pStyle w:val="ListParagraph"/>
        <w:numPr>
          <w:ilvl w:val="0"/>
          <w:numId w:val="3"/>
        </w:numPr>
        <w:spacing w:after="120"/>
      </w:pPr>
      <w:r w:rsidRPr="00C4219F">
        <w:t xml:space="preserve">Guidance value calculation - the valuation </w:t>
      </w:r>
      <w:r w:rsidR="00F63726">
        <w:t xml:space="preserve">calculation </w:t>
      </w:r>
      <w:bookmarkStart w:id="0" w:name="_GoBack"/>
      <w:bookmarkEnd w:id="0"/>
      <w:r w:rsidRPr="00C4219F">
        <w:t>rules as per gazette has to be studied</w:t>
      </w:r>
    </w:p>
    <w:p w:rsidR="002A0733" w:rsidRDefault="00C4219F">
      <w:pPr>
        <w:spacing w:before="240" w:after="120"/>
      </w:pPr>
      <w:r>
        <w:rPr>
          <w:b/>
          <w:bCs/>
          <w:sz w:val="24"/>
          <w:szCs w:val="24"/>
        </w:rPr>
        <w:t>10</w:t>
      </w:r>
      <w:r w:rsidR="0068265D">
        <w:rPr>
          <w:b/>
          <w:bCs/>
          <w:sz w:val="24"/>
          <w:szCs w:val="24"/>
        </w:rPr>
        <w:t>. Summary</w:t>
      </w:r>
    </w:p>
    <w:p w:rsidR="002A0733" w:rsidRDefault="0068265D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Rework Summary: </w:t>
      </w:r>
      <w:r>
        <w:t>Summary needs to be reworked.</w:t>
      </w:r>
    </w:p>
    <w:p w:rsidR="002A0733" w:rsidRDefault="0068265D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Document Number: </w:t>
      </w:r>
      <w:r>
        <w:t>Document number to be displayed in the summary.</w:t>
      </w:r>
    </w:p>
    <w:p w:rsidR="00D539F4" w:rsidRDefault="00D539F4"/>
    <w:p w:rsidR="00D539F4" w:rsidRDefault="00F63726">
      <w:r>
        <w:rPr>
          <w:rFonts w:ascii="Segoe UI" w:hAnsi="Segoe UI"/>
          <w:b/>
          <w:sz w:val="29"/>
        </w:rPr>
        <w:t>1. Primary Acts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539F4">
        <w:tc>
          <w:tcPr>
            <w:tcW w:w="3120" w:type="dxa"/>
            <w:shd w:val="clear" w:color="auto" w:fill="D9E2F3"/>
          </w:tcPr>
          <w:p w:rsidR="00D539F4" w:rsidRDefault="00F63726">
            <w:r>
              <w:t>Act</w:t>
            </w:r>
          </w:p>
        </w:tc>
        <w:tc>
          <w:tcPr>
            <w:tcW w:w="3120" w:type="dxa"/>
            <w:shd w:val="clear" w:color="auto" w:fill="D9E2F3"/>
          </w:tcPr>
          <w:p w:rsidR="00D539F4" w:rsidRDefault="00F63726">
            <w:r>
              <w:t>Sections</w:t>
            </w:r>
          </w:p>
        </w:tc>
        <w:tc>
          <w:tcPr>
            <w:tcW w:w="3120" w:type="dxa"/>
            <w:shd w:val="clear" w:color="auto" w:fill="D9E2F3"/>
          </w:tcPr>
          <w:p w:rsidR="00D539F4" w:rsidRDefault="00F63726">
            <w:r>
              <w:t>Relevance</w:t>
            </w:r>
          </w:p>
        </w:tc>
      </w:tr>
      <w:tr w:rsidR="00D539F4">
        <w:tc>
          <w:tcPr>
            <w:tcW w:w="3120" w:type="dxa"/>
          </w:tcPr>
          <w:p w:rsidR="00D539F4" w:rsidRDefault="00F63726">
            <w:r>
              <w:t>The Registration Act, 1908 (Central Act 16 of 1908)</w:t>
            </w:r>
          </w:p>
        </w:tc>
        <w:tc>
          <w:tcPr>
            <w:tcW w:w="3120" w:type="dxa"/>
          </w:tcPr>
          <w:p w:rsidR="00D539F4" w:rsidRDefault="00F63726">
            <w:r>
              <w:t>Secs. 17–22, 23, 25, 28–35, 51–52, 58–61, 71–77, 78</w:t>
            </w:r>
          </w:p>
        </w:tc>
        <w:tc>
          <w:tcPr>
            <w:tcW w:w="3120" w:type="dxa"/>
          </w:tcPr>
          <w:p w:rsidR="00D539F4" w:rsidRDefault="00F63726">
            <w:r>
              <w:t xml:space="preserve">Compulsory / </w:t>
            </w:r>
            <w:r>
              <w:t>optional registration; presentation time &amp; place; examination; endorsements &amp; Sec. 60 certificate; refusal / appeal; registration fees — core Registration and Status tracking</w:t>
            </w:r>
          </w:p>
        </w:tc>
      </w:tr>
      <w:tr w:rsidR="00D539F4">
        <w:tc>
          <w:tcPr>
            <w:tcW w:w="3120" w:type="dxa"/>
          </w:tcPr>
          <w:p w:rsidR="00D539F4" w:rsidRDefault="00F63726">
            <w:r>
              <w:t>The Registration Act, 1908</w:t>
            </w:r>
          </w:p>
        </w:tc>
        <w:tc>
          <w:tcPr>
            <w:tcW w:w="3120" w:type="dxa"/>
          </w:tcPr>
          <w:p w:rsidR="00D539F4" w:rsidRDefault="00F63726">
            <w:r>
              <w:t>Secs. 5–7, 10–12, 28–31</w:t>
            </w:r>
          </w:p>
        </w:tc>
        <w:tc>
          <w:tcPr>
            <w:tcW w:w="3120" w:type="dxa"/>
          </w:tcPr>
          <w:p w:rsidR="00D539F4" w:rsidRDefault="00F63726">
            <w:r>
              <w:t>Districts / sub-districts; Re</w:t>
            </w:r>
            <w:r>
              <w:t>gistrars &amp; Sub-Registrars; place of registration — Appointment office selection and jurisdiction routing</w:t>
            </w:r>
          </w:p>
        </w:tc>
      </w:tr>
      <w:tr w:rsidR="00D539F4">
        <w:tc>
          <w:tcPr>
            <w:tcW w:w="3120" w:type="dxa"/>
          </w:tcPr>
          <w:p w:rsidR="00D539F4" w:rsidRDefault="00F63726">
            <w:r>
              <w:t>The Registration (Karnataka Amendment) Act, 2023 (Karnataka Act 47 of 2024)</w:t>
            </w:r>
          </w:p>
        </w:tc>
        <w:tc>
          <w:tcPr>
            <w:tcW w:w="3120" w:type="dxa"/>
          </w:tcPr>
          <w:p w:rsidR="00D539F4" w:rsidRDefault="00F63726">
            <w:r>
              <w:t>Secs. 22-B, 22-C, 22-D, 81-A, 81-B</w:t>
            </w:r>
          </w:p>
        </w:tc>
        <w:tc>
          <w:tcPr>
            <w:tcW w:w="3120" w:type="dxa"/>
          </w:tcPr>
          <w:p w:rsidR="00D539F4" w:rsidRDefault="00F63726">
            <w:r>
              <w:t>Refusal / cancellation of forged or pro</w:t>
            </w:r>
            <w:r>
              <w:t>hibited documents; appeal; penalties — registration intake validation</w:t>
            </w:r>
          </w:p>
        </w:tc>
      </w:tr>
      <w:tr w:rsidR="00D539F4">
        <w:tc>
          <w:tcPr>
            <w:tcW w:w="3120" w:type="dxa"/>
          </w:tcPr>
          <w:p w:rsidR="00D539F4" w:rsidRDefault="00F63726">
            <w:r>
              <w:t>The Karnataka Stamp Act, 1957</w:t>
            </w:r>
          </w:p>
        </w:tc>
        <w:tc>
          <w:tcPr>
            <w:tcW w:w="3120" w:type="dxa"/>
          </w:tcPr>
          <w:p w:rsidR="00D539F4" w:rsidRDefault="00F63726">
            <w:r>
              <w:t>Secs. 3, 10, 33–39, 45-A, Schedule</w:t>
            </w:r>
          </w:p>
        </w:tc>
        <w:tc>
          <w:tcPr>
            <w:tcW w:w="3120" w:type="dxa"/>
          </w:tcPr>
          <w:p w:rsidR="00D539F4" w:rsidRDefault="00F63726">
            <w:r>
              <w:t>Stamp duty chargeable; payment modes; impounding; undervaluation reference — touched in 28-08 discussion (stamp duty / g</w:t>
            </w:r>
            <w:r>
              <w:t>uidance value / impound)</w:t>
            </w:r>
          </w:p>
        </w:tc>
      </w:tr>
      <w:tr w:rsidR="00D539F4">
        <w:tc>
          <w:tcPr>
            <w:tcW w:w="3120" w:type="dxa"/>
          </w:tcPr>
          <w:p w:rsidR="00D539F4" w:rsidRDefault="00F63726">
            <w:r>
              <w:t>The Transfer of Property Act, 1882</w:t>
            </w:r>
          </w:p>
        </w:tc>
        <w:tc>
          <w:tcPr>
            <w:tcW w:w="3120" w:type="dxa"/>
          </w:tcPr>
          <w:p w:rsidR="00D539F4" w:rsidRDefault="00F63726">
            <w:r>
              <w:t>Sec. 54</w:t>
            </w:r>
          </w:p>
        </w:tc>
        <w:tc>
          <w:tcPr>
            <w:tcW w:w="3120" w:type="dxa"/>
          </w:tcPr>
          <w:p w:rsidR="00D539F4" w:rsidRDefault="00F63726">
            <w:r>
              <w:t>Sale of immovable property of value &gt; ₹100 requires registered instrument — drives Article / transaction-type selection for conveyance</w:t>
            </w:r>
          </w:p>
        </w:tc>
      </w:tr>
    </w:tbl>
    <w:p w:rsidR="00D539F4" w:rsidRDefault="00D539F4"/>
    <w:p w:rsidR="00D539F4" w:rsidRDefault="00F63726">
      <w:r>
        <w:rPr>
          <w:rFonts w:ascii="Segoe UI" w:hAnsi="Segoe UI"/>
          <w:b/>
          <w:sz w:val="29"/>
        </w:rPr>
        <w:t xml:space="preserve">2. Primary Rules — Karnataka Registration Rules, </w:t>
      </w:r>
      <w:r>
        <w:rPr>
          <w:rFonts w:ascii="Segoe UI" w:hAnsi="Segoe UI"/>
          <w:b/>
          <w:sz w:val="29"/>
        </w:rPr>
        <w:t>1965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539F4">
        <w:tc>
          <w:tcPr>
            <w:tcW w:w="3120" w:type="dxa"/>
            <w:shd w:val="clear" w:color="auto" w:fill="D9E2F3"/>
          </w:tcPr>
          <w:p w:rsidR="00D539F4" w:rsidRDefault="00F63726">
            <w:r>
              <w:t>Rule</w:t>
            </w:r>
          </w:p>
        </w:tc>
        <w:tc>
          <w:tcPr>
            <w:tcW w:w="3120" w:type="dxa"/>
            <w:shd w:val="clear" w:color="auto" w:fill="D9E2F3"/>
          </w:tcPr>
          <w:p w:rsidR="00D539F4" w:rsidRDefault="00F63726">
            <w:r>
              <w:t>Key provisions</w:t>
            </w:r>
          </w:p>
        </w:tc>
        <w:tc>
          <w:tcPr>
            <w:tcW w:w="3120" w:type="dxa"/>
            <w:shd w:val="clear" w:color="auto" w:fill="D9E2F3"/>
          </w:tcPr>
          <w:p w:rsidR="00D539F4" w:rsidRDefault="00F63726">
            <w:r>
              <w:t>Relevance to topic</w:t>
            </w:r>
          </w:p>
        </w:tc>
      </w:tr>
      <w:tr w:rsidR="00D539F4">
        <w:tc>
          <w:tcPr>
            <w:tcW w:w="3120" w:type="dxa"/>
          </w:tcPr>
          <w:p w:rsidR="00D539F4" w:rsidRDefault="00F63726">
            <w:r>
              <w:t>Karnataka Registration Rules, 1965 — Ch. II</w:t>
            </w:r>
          </w:p>
        </w:tc>
        <w:tc>
          <w:tcPr>
            <w:tcW w:w="3120" w:type="dxa"/>
          </w:tcPr>
          <w:p w:rsidR="00D539F4" w:rsidRDefault="00F63726">
            <w:r>
              <w:t>Rules 3, 5</w:t>
            </w:r>
          </w:p>
        </w:tc>
        <w:tc>
          <w:tcPr>
            <w:tcW w:w="3120" w:type="dxa"/>
          </w:tcPr>
          <w:p w:rsidR="00D539F4" w:rsidRDefault="00F63726">
            <w:r>
              <w:t>Office hours and holidays — Appointment / slot calendar</w:t>
            </w:r>
          </w:p>
        </w:tc>
      </w:tr>
      <w:tr w:rsidR="00D539F4">
        <w:tc>
          <w:tcPr>
            <w:tcW w:w="3120" w:type="dxa"/>
          </w:tcPr>
          <w:p w:rsidR="00D539F4" w:rsidRDefault="00F63726">
            <w:r>
              <w:t>Karnataka Registration Rules, 1965 — Ch. VI</w:t>
            </w:r>
          </w:p>
        </w:tc>
        <w:tc>
          <w:tcPr>
            <w:tcW w:w="3120" w:type="dxa"/>
          </w:tcPr>
          <w:p w:rsidR="00D539F4" w:rsidRDefault="00F63726">
            <w:r>
              <w:t>Rules 13–15</w:t>
            </w:r>
          </w:p>
        </w:tc>
        <w:tc>
          <w:tcPr>
            <w:tcW w:w="3120" w:type="dxa"/>
          </w:tcPr>
          <w:p w:rsidR="00D539F4" w:rsidRDefault="00F63726">
            <w:r>
              <w:t>Territorial divisions; survey / city survey</w:t>
            </w:r>
            <w:r>
              <w:t xml:space="preserve"> description — Village Index and property details (KSRSAC / GIS)</w:t>
            </w:r>
          </w:p>
        </w:tc>
      </w:tr>
      <w:tr w:rsidR="00D539F4">
        <w:tc>
          <w:tcPr>
            <w:tcW w:w="3120" w:type="dxa"/>
          </w:tcPr>
          <w:p w:rsidR="00D539F4" w:rsidRDefault="00F63726">
            <w:r>
              <w:t>Karnataka Registration Rules, 1965 — Ch. IX</w:t>
            </w:r>
          </w:p>
        </w:tc>
        <w:tc>
          <w:tcPr>
            <w:tcW w:w="3120" w:type="dxa"/>
          </w:tcPr>
          <w:p w:rsidR="00D539F4" w:rsidRDefault="00F63726">
            <w:r>
              <w:t>Rules 37, 40–46, 51–55</w:t>
            </w:r>
          </w:p>
        </w:tc>
        <w:tc>
          <w:tcPr>
            <w:tcW w:w="3120" w:type="dxa"/>
          </w:tcPr>
          <w:p w:rsidR="00D539F4" w:rsidRDefault="00F63726">
            <w:r>
              <w:t xml:space="preserve">Office where document may be registered; presentation; examination; endorsement; suspension (fine / stamp); condonation — </w:t>
            </w:r>
            <w:r>
              <w:t>Registration &amp; Status</w:t>
            </w:r>
          </w:p>
        </w:tc>
      </w:tr>
      <w:tr w:rsidR="00D539F4">
        <w:tc>
          <w:tcPr>
            <w:tcW w:w="3120" w:type="dxa"/>
          </w:tcPr>
          <w:p w:rsidR="00D539F4" w:rsidRDefault="00F63726">
            <w:r>
              <w:t>Karnataka Registration Rules, 1965 — Ch. XII / XVI</w:t>
            </w:r>
          </w:p>
        </w:tc>
        <w:tc>
          <w:tcPr>
            <w:tcW w:w="3120" w:type="dxa"/>
          </w:tcPr>
          <w:p w:rsidR="00D539F4" w:rsidRDefault="00F63726">
            <w:r>
              <w:t>Rules 71–73, 78–79, 94, 104</w:t>
            </w:r>
          </w:p>
        </w:tc>
        <w:tc>
          <w:tcPr>
            <w:tcW w:w="3120" w:type="dxa"/>
          </w:tcPr>
          <w:p w:rsidR="00D539F4" w:rsidRDefault="00F63726">
            <w:r>
              <w:t>Executant examination; thumb impression / photograph; endorsements; Sec. 60 certificate — Registration completion</w:t>
            </w:r>
          </w:p>
        </w:tc>
      </w:tr>
      <w:tr w:rsidR="00D539F4">
        <w:tc>
          <w:tcPr>
            <w:tcW w:w="3120" w:type="dxa"/>
          </w:tcPr>
          <w:p w:rsidR="00D539F4" w:rsidRDefault="00F63726">
            <w:r>
              <w:t>Karnataka Registration Rules, 1965 — Ch</w:t>
            </w:r>
            <w:r>
              <w:t>. XVII / XXV</w:t>
            </w:r>
          </w:p>
        </w:tc>
        <w:tc>
          <w:tcPr>
            <w:tcW w:w="3120" w:type="dxa"/>
          </w:tcPr>
          <w:p w:rsidR="00D539F4" w:rsidRDefault="00F63726">
            <w:r>
              <w:t>Rules 110–118, 175–188</w:t>
            </w:r>
          </w:p>
        </w:tc>
        <w:tc>
          <w:tcPr>
            <w:tcW w:w="3120" w:type="dxa"/>
          </w:tcPr>
          <w:p w:rsidR="00D539F4" w:rsidRDefault="00F63726">
            <w:r>
              <w:t>Receipts; return of document; appeal against refusal — Status tracking termini</w:t>
            </w:r>
          </w:p>
        </w:tc>
      </w:tr>
      <w:tr w:rsidR="00D539F4">
        <w:tc>
          <w:tcPr>
            <w:tcW w:w="3120" w:type="dxa"/>
          </w:tcPr>
          <w:p w:rsidR="00D539F4" w:rsidRDefault="00F63726">
            <w:r>
              <w:t>Karnataka Stamp Rules, 1958 / e-Stamping Rules, 2009</w:t>
            </w:r>
          </w:p>
        </w:tc>
        <w:tc>
          <w:tcPr>
            <w:tcW w:w="3120" w:type="dxa"/>
          </w:tcPr>
          <w:p w:rsidR="00D539F4" w:rsidRDefault="00F63726">
            <w:r>
              <w:t>Stamp payment procedures</w:t>
            </w:r>
          </w:p>
        </w:tc>
        <w:tc>
          <w:tcPr>
            <w:tcW w:w="3120" w:type="dxa"/>
          </w:tcPr>
          <w:p w:rsidR="00D539F4" w:rsidRDefault="00F63726">
            <w:r>
              <w:t>Impressed / franking / e-Stamp at presentation — Payment visib</w:t>
            </w:r>
            <w:r>
              <w:t>ility (28-08)</w:t>
            </w:r>
          </w:p>
        </w:tc>
      </w:tr>
    </w:tbl>
    <w:p w:rsidR="00D539F4" w:rsidRDefault="00D539F4"/>
    <w:p w:rsidR="00D539F4" w:rsidRDefault="00F63726">
      <w:r>
        <w:rPr>
          <w:rFonts w:ascii="Segoe UI" w:hAnsi="Segoe UI"/>
          <w:b/>
          <w:sz w:val="29"/>
        </w:rPr>
        <w:t>3. Notifications / amendments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539F4">
        <w:tc>
          <w:tcPr>
            <w:tcW w:w="3120" w:type="dxa"/>
            <w:shd w:val="clear" w:color="auto" w:fill="D9E2F3"/>
          </w:tcPr>
          <w:p w:rsidR="00D539F4" w:rsidRDefault="00F63726">
            <w:r>
              <w:lastRenderedPageBreak/>
              <w:t>Instrument</w:t>
            </w:r>
          </w:p>
        </w:tc>
        <w:tc>
          <w:tcPr>
            <w:tcW w:w="3120" w:type="dxa"/>
            <w:shd w:val="clear" w:color="auto" w:fill="D9E2F3"/>
          </w:tcPr>
          <w:p w:rsidR="00D539F4" w:rsidRDefault="00F63726">
            <w:r>
              <w:t>Effect</w:t>
            </w:r>
          </w:p>
        </w:tc>
        <w:tc>
          <w:tcPr>
            <w:tcW w:w="3120" w:type="dxa"/>
            <w:shd w:val="clear" w:color="auto" w:fill="D9E2F3"/>
          </w:tcPr>
          <w:p w:rsidR="00D539F4" w:rsidRDefault="00F63726">
            <w:r>
              <w:t>Relevance</w:t>
            </w:r>
          </w:p>
        </w:tc>
      </w:tr>
      <w:tr w:rsidR="00D539F4">
        <w:tc>
          <w:tcPr>
            <w:tcW w:w="3120" w:type="dxa"/>
          </w:tcPr>
          <w:p w:rsidR="00D539F4" w:rsidRDefault="00F63726">
            <w:r>
              <w:t>RGN 2/2002-03 (1 Apr 2002; w.e.f. 4 Apr 2002)</w:t>
            </w:r>
          </w:p>
        </w:tc>
        <w:tc>
          <w:tcPr>
            <w:tcW w:w="3120" w:type="dxa"/>
          </w:tcPr>
          <w:p w:rsidR="00D539F4" w:rsidRDefault="00F63726">
            <w:r>
              <w:t>Rule 19-A document sheets; Rules 22-A–22-C; Rule 40 photograph / digital photo</w:t>
            </w:r>
          </w:p>
        </w:tc>
        <w:tc>
          <w:tcPr>
            <w:tcW w:w="3120" w:type="dxa"/>
          </w:tcPr>
          <w:p w:rsidR="00D539F4" w:rsidRDefault="00F63726">
            <w:r>
              <w:t>Document format and photo at presentation</w:t>
            </w:r>
          </w:p>
        </w:tc>
      </w:tr>
      <w:tr w:rsidR="00D539F4">
        <w:tc>
          <w:tcPr>
            <w:tcW w:w="3120" w:type="dxa"/>
          </w:tcPr>
          <w:p w:rsidR="00D539F4" w:rsidRDefault="00F63726">
            <w:r>
              <w:t>RD 403 ESR 85</w:t>
            </w:r>
            <w:r>
              <w:t xml:space="preserve"> (27 May 1986) as amended by RD/46/MNMU/2025 (29 Aug 2025)</w:t>
            </w:r>
          </w:p>
        </w:tc>
        <w:tc>
          <w:tcPr>
            <w:tcW w:w="3120" w:type="dxa"/>
          </w:tcPr>
          <w:p w:rsidR="00D539F4" w:rsidRDefault="00F63726">
            <w:r>
              <w:t>Table of Registration Fees under Sec. 78 — fee revision w.e.f. 31 Aug 2025</w:t>
            </w:r>
          </w:p>
        </w:tc>
        <w:tc>
          <w:tcPr>
            <w:tcW w:w="3120" w:type="dxa"/>
          </w:tcPr>
          <w:p w:rsidR="00D539F4" w:rsidRDefault="00F63726">
            <w:r>
              <w:t>Registration fee calculator / payment amount</w:t>
            </w:r>
          </w:p>
        </w:tc>
      </w:tr>
      <w:tr w:rsidR="00D539F4">
        <w:tc>
          <w:tcPr>
            <w:tcW w:w="3120" w:type="dxa"/>
          </w:tcPr>
          <w:p w:rsidR="00D539F4" w:rsidRDefault="00F63726">
            <w:r>
              <w:t>RD 380 MUNOMU 2008 (8 Apr 2009)</w:t>
            </w:r>
          </w:p>
        </w:tc>
        <w:tc>
          <w:tcPr>
            <w:tcW w:w="3120" w:type="dxa"/>
          </w:tcPr>
          <w:p w:rsidR="00D539F4" w:rsidRDefault="00F63726">
            <w:r>
              <w:t>Karnataka Stamp (Payment of Duty by Means of</w:t>
            </w:r>
            <w:r>
              <w:t xml:space="preserve"> e-Stamping) Rules, 2009</w:t>
            </w:r>
          </w:p>
        </w:tc>
        <w:tc>
          <w:tcPr>
            <w:tcW w:w="3120" w:type="dxa"/>
          </w:tcPr>
          <w:p w:rsidR="00D539F4" w:rsidRDefault="00F63726">
            <w:r>
              <w:t>e-Stamp payment and verification at SRO</w:t>
            </w:r>
          </w:p>
        </w:tc>
      </w:tr>
      <w:tr w:rsidR="00D539F4">
        <w:tc>
          <w:tcPr>
            <w:tcW w:w="3120" w:type="dxa"/>
          </w:tcPr>
          <w:p w:rsidR="00D539F4" w:rsidRDefault="00F63726">
            <w:r>
              <w:t>Stamp Act Sec. 45-B (Act 8 of 2003) / Undervaluation Rules, 1977 (GSR 81)</w:t>
            </w:r>
          </w:p>
        </w:tc>
        <w:tc>
          <w:tcPr>
            <w:tcW w:w="3120" w:type="dxa"/>
          </w:tcPr>
          <w:p w:rsidR="00D539F4" w:rsidRDefault="00F63726">
            <w:r>
              <w:t>CVC market value guidelines; Sec. 45-A reference / Form I</w:t>
            </w:r>
          </w:p>
        </w:tc>
        <w:tc>
          <w:tcPr>
            <w:tcW w:w="3120" w:type="dxa"/>
          </w:tcPr>
          <w:p w:rsidR="00D539F4" w:rsidRDefault="00F63726">
            <w:r>
              <w:t>Guidance value &amp; undervaluation / impound (noted on 28-08)</w:t>
            </w:r>
          </w:p>
        </w:tc>
      </w:tr>
    </w:tbl>
    <w:p w:rsidR="00D539F4" w:rsidRDefault="00D539F4"/>
    <w:p w:rsidR="00D539F4" w:rsidRDefault="00F63726">
      <w:r>
        <w:rPr>
          <w:rFonts w:ascii="Segoe UI" w:hAnsi="Segoe UI"/>
          <w:b/>
          <w:sz w:val="27"/>
        </w:rPr>
        <w:t>4. Cross-reference (noted in 28-08 discussion)</w:t>
      </w:r>
    </w:p>
    <w:p w:rsidR="00D539F4" w:rsidRDefault="00F63726">
      <w:r>
        <w:rPr>
          <w:rFonts w:ascii="Segoe UI" w:hAnsi="Segoe UI"/>
          <w:b/>
          <w:sz w:val="27"/>
        </w:rPr>
        <w:t xml:space="preserve">Stamp duty / Guidance value / Impound: </w:t>
      </w:r>
      <w:r>
        <w:rPr>
          <w:rFonts w:ascii="Segoe UI" w:hAnsi="Segoe UI"/>
          <w:sz w:val="27"/>
        </w:rPr>
        <w:t xml:space="preserve">Detailed study of the Karnataka Stamp Act Schedule and CVC / Undervaluation Rules was flagged in the meeting (items 2, 9). Full legal tables for those topics are also </w:t>
      </w:r>
      <w:r>
        <w:rPr>
          <w:rFonts w:ascii="Segoe UI" w:hAnsi="Segoe UI"/>
          <w:sz w:val="27"/>
        </w:rPr>
        <w:t>in Document_Registration_requirement_01092026_v1.1.docx (Sr.13–14). Key hooks retained above: Stamp Act Secs. 3, 10, 33–39, 45-A; Sec. 45-B / Undervaluation Rules, 1977; Registration Act Sec. 78 + RD/46/MNMU/2025 fees.</w:t>
      </w:r>
    </w:p>
    <w:p w:rsidR="00D539F4" w:rsidRDefault="00D539F4"/>
    <w:p w:rsidR="00D539F4" w:rsidRDefault="00F63726">
      <w:r>
        <w:rPr>
          <w:b/>
          <w:sz w:val="48"/>
        </w:rPr>
        <w:t>Pain Points</w:t>
      </w:r>
    </w:p>
    <w:p w:rsidR="00D539F4" w:rsidRDefault="00D539F4"/>
    <w:p w:rsidR="00D539F4" w:rsidRDefault="00F63726">
      <w:r>
        <w:rPr>
          <w:rFonts w:ascii="Segoe UI" w:hAnsi="Segoe UI"/>
          <w:b/>
          <w:sz w:val="29"/>
        </w:rPr>
        <w:t>Registration core — Reg</w:t>
      </w:r>
      <w:r>
        <w:rPr>
          <w:rFonts w:ascii="Segoe UI" w:hAnsi="Segoe UI"/>
          <w:b/>
          <w:sz w:val="29"/>
        </w:rPr>
        <w:t>istration, Appointment, Status tracking (aligned to 28-08 discussion notes)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539F4">
        <w:tc>
          <w:tcPr>
            <w:tcW w:w="4680" w:type="dxa"/>
            <w:shd w:val="clear" w:color="auto" w:fill="D9E2F3"/>
          </w:tcPr>
          <w:p w:rsidR="00D539F4" w:rsidRDefault="00F63726">
            <w:r>
              <w:rPr>
                <w:b/>
                <w:sz w:val="24"/>
              </w:rPr>
              <w:t>Pain point</w:t>
            </w:r>
          </w:p>
        </w:tc>
        <w:tc>
          <w:tcPr>
            <w:tcW w:w="4680" w:type="dxa"/>
            <w:shd w:val="clear" w:color="auto" w:fill="D9E2F3"/>
          </w:tcPr>
          <w:p w:rsidR="00D539F4" w:rsidRDefault="00F63726">
            <w:r>
              <w:rPr>
                <w:b/>
                <w:sz w:val="24"/>
              </w:rPr>
              <w:t>Evidence (tickets / categorized)</w:t>
            </w:r>
          </w:p>
        </w:tc>
      </w:tr>
      <w:tr w:rsidR="00D539F4">
        <w:tc>
          <w:tcPr>
            <w:tcW w:w="4680" w:type="dxa"/>
          </w:tcPr>
          <w:p w:rsidR="00D539F4" w:rsidRDefault="00F63726">
            <w:r>
              <w:t>SR send to payment / send back for correction</w:t>
            </w:r>
          </w:p>
        </w:tc>
        <w:tc>
          <w:tcPr>
            <w:tcW w:w="4680" w:type="dxa"/>
          </w:tcPr>
          <w:p w:rsidR="00D539F4" w:rsidRDefault="00F63726">
            <w:r>
              <w:t xml:space="preserve">After verification unable to send to citizen for payment / rectify (94523, 92990, 92566, </w:t>
            </w:r>
            <w:r>
              <w:t>88608, 83818, 31346 — pending count 6); after evaluation send does not proceed (30960, 31484); sent-back apps still ask for payment with amount 0 (88309, 27587)</w:t>
            </w:r>
          </w:p>
        </w:tc>
      </w:tr>
      <w:tr w:rsidR="00D539F4">
        <w:tc>
          <w:tcPr>
            <w:tcW w:w="4680" w:type="dxa"/>
          </w:tcPr>
          <w:p w:rsidR="00D539F4" w:rsidRDefault="00F63726">
            <w:r>
              <w:t>Payment visibility &amp; payment failures</w:t>
            </w:r>
          </w:p>
        </w:tc>
        <w:tc>
          <w:tcPr>
            <w:tcW w:w="4680" w:type="dxa"/>
          </w:tcPr>
          <w:p w:rsidR="00D539F4" w:rsidRDefault="00F63726">
            <w:r>
              <w:t>Unable to make payment for document registration (29349,</w:t>
            </w:r>
            <w:r>
              <w:t xml:space="preserve"> 29407); payment error “Something went wrong” (94275); payment completed but still Make Payment / pending for payment (92384, 28335, 26151); payment details not in 10A (27824)</w:t>
            </w:r>
          </w:p>
        </w:tc>
      </w:tr>
      <w:tr w:rsidR="00D539F4">
        <w:tc>
          <w:tcPr>
            <w:tcW w:w="4680" w:type="dxa"/>
          </w:tcPr>
          <w:p w:rsidR="00D539F4" w:rsidRDefault="00F63726">
            <w:r>
              <w:t>Slot booking / tatkal / reschedule</w:t>
            </w:r>
          </w:p>
        </w:tc>
        <w:tc>
          <w:tcPr>
            <w:tcW w:w="4680" w:type="dxa"/>
          </w:tcPr>
          <w:p w:rsidR="00D539F4" w:rsidRDefault="00F63726">
            <w:r>
              <w:t>Unable to schedule appointment (27283 P1, 30</w:t>
            </w:r>
            <w:r>
              <w:t>478, 30908); time slot issue (30841); unable to re-schedule (91929); after payment still pending for payment while citizen books slot (28335)</w:t>
            </w:r>
          </w:p>
        </w:tc>
      </w:tr>
      <w:tr w:rsidR="00D539F4">
        <w:tc>
          <w:tcPr>
            <w:tcW w:w="4680" w:type="dxa"/>
          </w:tcPr>
          <w:p w:rsidR="00D539F4" w:rsidRDefault="00F63726">
            <w:r>
              <w:t>Withdrawal workflow</w:t>
            </w:r>
          </w:p>
        </w:tc>
        <w:tc>
          <w:tcPr>
            <w:tcW w:w="4680" w:type="dxa"/>
          </w:tcPr>
          <w:p w:rsidR="00D539F4" w:rsidRDefault="00F63726">
            <w:r>
              <w:t>Withdraw option not available for rejected application (93043); citizen unable to withdraw (2</w:t>
            </w:r>
            <w:r>
              <w:t>4685, 23807); withdrawn app still pending in DEO (9494, 23080); withdraw auto-generated registration number (8691); payment withdraw issue (28630)</w:t>
            </w:r>
          </w:p>
        </w:tc>
      </w:tr>
      <w:tr w:rsidR="00D539F4">
        <w:tc>
          <w:tcPr>
            <w:tcW w:w="4680" w:type="dxa"/>
          </w:tcPr>
          <w:p w:rsidR="00D539F4" w:rsidRDefault="00F63726">
            <w:r>
              <w:lastRenderedPageBreak/>
              <w:t>Stamp duty &amp; registration fee calculation</w:t>
            </w:r>
          </w:p>
        </w:tc>
        <w:tc>
          <w:tcPr>
            <w:tcW w:w="4680" w:type="dxa"/>
          </w:tcPr>
          <w:p w:rsidR="00D539F4" w:rsidRDefault="00F63726">
            <w:r>
              <w:t xml:space="preserve">Unable to Calculate Stamp duty and Registration fee (23369); fees </w:t>
            </w:r>
            <w:r>
              <w:t>calculation category pending (74 tickets); partition / gift article wrong duty (31257, 93306, 31130); fee zero after valuation (28596, 26292)</w:t>
            </w:r>
          </w:p>
        </w:tc>
      </w:tr>
      <w:tr w:rsidR="00D539F4">
        <w:tc>
          <w:tcPr>
            <w:tcW w:w="4680" w:type="dxa"/>
          </w:tcPr>
          <w:p w:rsidR="00D539F4" w:rsidRDefault="00F63726">
            <w:r>
              <w:t>Guidance value / undervaluation &amp; impound</w:t>
            </w:r>
          </w:p>
        </w:tc>
        <w:tc>
          <w:tcPr>
            <w:tcW w:w="4680" w:type="dxa"/>
          </w:tcPr>
          <w:p w:rsidR="00D539F4" w:rsidRDefault="00F63726">
            <w:r>
              <w:t>Pending for 45-A undervaluation (93336… — count 6); unable to release 4</w:t>
            </w:r>
            <w:r>
              <w:t>5-A pending (13204, 14582, 31209–31212); Impound related issue (30024); CVC rates not displaying (31481, 31521); rural building valued at TMC/CMC rates (29393)</w:t>
            </w:r>
          </w:p>
        </w:tc>
      </w:tr>
      <w:tr w:rsidR="00D539F4">
        <w:tc>
          <w:tcPr>
            <w:tcW w:w="4680" w:type="dxa"/>
          </w:tcPr>
          <w:p w:rsidR="00D539F4" w:rsidRDefault="00F63726">
            <w:r>
              <w:t>Summary / document number display</w:t>
            </w:r>
          </w:p>
        </w:tc>
        <w:tc>
          <w:tcPr>
            <w:tcW w:w="4680" w:type="dxa"/>
          </w:tcPr>
          <w:p w:rsidR="00D539F4" w:rsidRDefault="00F63726">
            <w:r>
              <w:t>Summary not generating (27360, 27805, 30609); document number</w:t>
            </w:r>
            <w:r>
              <w:t xml:space="preserve"> generated but still in DEO Step-1 Generate Summary (28388); document number / challan / consideration missing or wrong in summary (31168, 6187, 10531)</w:t>
            </w:r>
          </w:p>
        </w:tc>
      </w:tr>
      <w:tr w:rsidR="00D539F4">
        <w:tc>
          <w:tcPr>
            <w:tcW w:w="4680" w:type="dxa"/>
          </w:tcPr>
          <w:p w:rsidR="00D539F4" w:rsidRDefault="00F63726">
            <w:r>
              <w:t>Status tracking — wrong step / DSC / acknowledgement</w:t>
            </w:r>
          </w:p>
        </w:tc>
        <w:tc>
          <w:tcPr>
            <w:tcW w:w="4680" w:type="dxa"/>
          </w:tcPr>
          <w:p w:rsidR="00D539F4" w:rsidRDefault="00F63726">
            <w:r>
              <w:t>Digital Sign option / SR name missing at Step 9 (9</w:t>
            </w:r>
            <w:r>
              <w:t>5322, 27050, 95349); Unable to Print acknowledgement at Step 10 (88602); slot allocation — registration complete but still in DEO Step 3 (28586); app number / status inconsistent across logins (Categorized Payment &amp; Step issues)</w:t>
            </w:r>
          </w:p>
        </w:tc>
      </w:tr>
    </w:tbl>
    <w:p w:rsidR="00D539F4" w:rsidRDefault="00D539F4"/>
    <w:p w:rsidR="00D539F4" w:rsidRDefault="00F63726">
      <w:r>
        <w:rPr>
          <w:rFonts w:ascii="Segoe UI" w:hAnsi="Segoe UI"/>
          <w:b/>
          <w:sz w:val="27"/>
        </w:rPr>
        <w:t>Note:</w:t>
      </w:r>
      <w:r>
        <w:rPr>
          <w:rFonts w:ascii="Segoe UI" w:hAnsi="Segoe UI"/>
          <w:sz w:val="27"/>
        </w:rPr>
        <w:t xml:space="preserve"> Source: Requirement</w:t>
      </w:r>
      <w:r>
        <w:rPr>
          <w:rFonts w:ascii="Segoe UI" w:hAnsi="Segoe UI"/>
          <w:sz w:val="27"/>
        </w:rPr>
        <w:t xml:space="preserve"> Discussions/ServiceDesk Issues/ServiceDeskIssuesList.xlsx (OverallList + Categorized). Includes SR approval → payment / correction, slot booking, withdrawal, stamp &amp; fee calculation, 45-A / impound, and summary / status-step issues discussed on 28-08-2026</w:t>
      </w:r>
      <w:r>
        <w:rPr>
          <w:rFonts w:ascii="Segoe UI" w:hAnsi="Segoe UI"/>
          <w:sz w:val="27"/>
        </w:rPr>
        <w:t>.</w:t>
      </w:r>
    </w:p>
    <w:sectPr w:rsidR="00D539F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F46666"/>
    <w:multiLevelType w:val="hybridMultilevel"/>
    <w:tmpl w:val="4314C604"/>
    <w:lvl w:ilvl="0" w:tplc="3E6C2C1E">
      <w:start w:val="1"/>
      <w:numFmt w:val="bullet"/>
      <w:lvlText w:val="•"/>
      <w:lvlJc w:val="left"/>
      <w:pPr>
        <w:ind w:left="720" w:hanging="360"/>
      </w:pPr>
    </w:lvl>
    <w:lvl w:ilvl="1" w:tplc="E9980CB0">
      <w:numFmt w:val="decimal"/>
      <w:lvlText w:val=""/>
      <w:lvlJc w:val="left"/>
    </w:lvl>
    <w:lvl w:ilvl="2" w:tplc="2A6CDA9E">
      <w:numFmt w:val="decimal"/>
      <w:lvlText w:val=""/>
      <w:lvlJc w:val="left"/>
    </w:lvl>
    <w:lvl w:ilvl="3" w:tplc="71A2D548">
      <w:numFmt w:val="decimal"/>
      <w:lvlText w:val=""/>
      <w:lvlJc w:val="left"/>
    </w:lvl>
    <w:lvl w:ilvl="4" w:tplc="C1985F46">
      <w:numFmt w:val="decimal"/>
      <w:lvlText w:val=""/>
      <w:lvlJc w:val="left"/>
    </w:lvl>
    <w:lvl w:ilvl="5" w:tplc="7E863F7A">
      <w:numFmt w:val="decimal"/>
      <w:lvlText w:val=""/>
      <w:lvlJc w:val="left"/>
    </w:lvl>
    <w:lvl w:ilvl="6" w:tplc="7F623BB4">
      <w:numFmt w:val="decimal"/>
      <w:lvlText w:val=""/>
      <w:lvlJc w:val="left"/>
    </w:lvl>
    <w:lvl w:ilvl="7" w:tplc="E36A03D4">
      <w:numFmt w:val="decimal"/>
      <w:lvlText w:val=""/>
      <w:lvlJc w:val="left"/>
    </w:lvl>
    <w:lvl w:ilvl="8" w:tplc="436C108A">
      <w:numFmt w:val="decimal"/>
      <w:lvlText w:val=""/>
      <w:lvlJc w:val="left"/>
    </w:lvl>
  </w:abstractNum>
  <w:abstractNum w:abstractNumId="1" w15:restartNumberingAfterBreak="0">
    <w:nsid w:val="3D604A26"/>
    <w:multiLevelType w:val="hybridMultilevel"/>
    <w:tmpl w:val="B00AE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115858"/>
    <w:multiLevelType w:val="hybridMultilevel"/>
    <w:tmpl w:val="3E349E56"/>
    <w:lvl w:ilvl="0" w:tplc="D2BC1308">
      <w:start w:val="1"/>
      <w:numFmt w:val="bullet"/>
      <w:lvlText w:val="●"/>
      <w:lvlJc w:val="left"/>
      <w:pPr>
        <w:ind w:left="720" w:hanging="360"/>
      </w:pPr>
    </w:lvl>
    <w:lvl w:ilvl="1" w:tplc="9F063096">
      <w:start w:val="1"/>
      <w:numFmt w:val="bullet"/>
      <w:lvlText w:val="○"/>
      <w:lvlJc w:val="left"/>
      <w:pPr>
        <w:ind w:left="1440" w:hanging="360"/>
      </w:pPr>
    </w:lvl>
    <w:lvl w:ilvl="2" w:tplc="5F48DB0A">
      <w:start w:val="1"/>
      <w:numFmt w:val="bullet"/>
      <w:lvlText w:val="■"/>
      <w:lvlJc w:val="left"/>
      <w:pPr>
        <w:ind w:left="2160" w:hanging="360"/>
      </w:pPr>
    </w:lvl>
    <w:lvl w:ilvl="3" w:tplc="CB1C9518">
      <w:start w:val="1"/>
      <w:numFmt w:val="bullet"/>
      <w:lvlText w:val="●"/>
      <w:lvlJc w:val="left"/>
      <w:pPr>
        <w:ind w:left="2880" w:hanging="360"/>
      </w:pPr>
    </w:lvl>
    <w:lvl w:ilvl="4" w:tplc="517EC60A">
      <w:start w:val="1"/>
      <w:numFmt w:val="bullet"/>
      <w:lvlText w:val="○"/>
      <w:lvlJc w:val="left"/>
      <w:pPr>
        <w:ind w:left="3600" w:hanging="360"/>
      </w:pPr>
    </w:lvl>
    <w:lvl w:ilvl="5" w:tplc="FA4CE968">
      <w:start w:val="1"/>
      <w:numFmt w:val="bullet"/>
      <w:lvlText w:val="■"/>
      <w:lvlJc w:val="left"/>
      <w:pPr>
        <w:ind w:left="4320" w:hanging="360"/>
      </w:pPr>
    </w:lvl>
    <w:lvl w:ilvl="6" w:tplc="01461664">
      <w:start w:val="1"/>
      <w:numFmt w:val="bullet"/>
      <w:lvlText w:val="●"/>
      <w:lvlJc w:val="left"/>
      <w:pPr>
        <w:ind w:left="5040" w:hanging="360"/>
      </w:pPr>
    </w:lvl>
    <w:lvl w:ilvl="7" w:tplc="4E08F4BC">
      <w:start w:val="1"/>
      <w:numFmt w:val="bullet"/>
      <w:lvlText w:val="●"/>
      <w:lvlJc w:val="left"/>
      <w:pPr>
        <w:ind w:left="5760" w:hanging="360"/>
      </w:pPr>
    </w:lvl>
    <w:lvl w:ilvl="8" w:tplc="7B9C753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0733"/>
    <w:rsid w:val="002A0733"/>
    <w:rsid w:val="0043472F"/>
    <w:rsid w:val="00676546"/>
    <w:rsid w:val="0068265D"/>
    <w:rsid w:val="00C4219F"/>
    <w:rsid w:val="00D539F4"/>
    <w:rsid w:val="00DC373E"/>
    <w:rsid w:val="00F61B62"/>
    <w:rsid w:val="00F63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C3D9D"/>
  <w15:docId w15:val="{F632CAD5-A86B-40CE-85DB-9D8227375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1189</Words>
  <Characters>6780</Characters>
  <Application>Microsoft Office Word</Application>
  <DocSecurity>0</DocSecurity>
  <Lines>56</Lines>
  <Paragraphs>15</Paragraphs>
  <ScaleCrop>false</ScaleCrop>
  <Company/>
  <LinksUpToDate>false</LinksUpToDate>
  <CharactersWithSpaces>7954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Administrator</cp:lastModifiedBy>
  <cp:revision>6</cp:revision>
  <dcterms:created xsi:type="dcterms:W3CDTF">2026-08-29T05:14:00Z</dcterms:created>
  <dcterms:modified xsi:type="dcterms:W3CDTF">2026-09-08T12:12:00Z</dcterms:modified>
</cp:coreProperties>
</file>