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xml:space="preserve">, Process Diagrams/Special Marriage/Special </w:t>
            </w:r>
            <w:r w:rsidRPr="00075B1D">
              <w:rPr>
                <w:sz w:val="24"/>
                <w:szCs w:val="24"/>
              </w:rPr>
              <w:lastRenderedPageBreak/>
              <w:t>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lastRenderedPageBreak/>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lastRenderedPageBreak/>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t>8.1.17 Null and Void Endorsement (Court Order) (FR-HMA-094–099)</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lastRenderedPageBreak/>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lastRenderedPageBreak/>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1"/>
        <w:gridCol w:w="3739"/>
        <w:gridCol w:w="3348"/>
      </w:tblGrid>
      <w:tr w:rsidR="008A7495" w:rsidTr="00CA5C38">
        <w:tc>
          <w:tcPr>
            <w:tcW w:w="1271" w:type="dxa"/>
          </w:tcPr>
          <w:p w:rsidR="008A7495" w:rsidRDefault="00CA5C38">
            <w:r>
              <w:rPr>
                <w:b/>
                <w:sz w:val="18"/>
              </w:rPr>
              <w:lastRenderedPageBreak/>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lastRenderedPageBreak/>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lastRenderedPageBreak/>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691"/>
        <w:gridCol w:w="1063"/>
        <w:gridCol w:w="1586"/>
        <w:gridCol w:w="1052"/>
        <w:gridCol w:w="3280"/>
        <w:gridCol w:w="1542"/>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c>
          <w:tcPr>
            <w:tcW w:w="2045" w:type="dxa"/>
          </w:tcPr>
          <w:p w:rsidR="008A7495" w:rsidRDefault="00CA5C38">
            <w:r>
              <w:rPr>
                <w:b/>
                <w:sz w:val="18"/>
              </w:rPr>
              <w:t>Implemented in (7)</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c>
          <w:tcPr>
            <w:tcW w:w="2045" w:type="dxa"/>
          </w:tcPr>
          <w:p w:rsidR="008A7495" w:rsidRDefault="00CA5C38">
            <w:r>
              <w:rPr>
                <w:sz w:val="18"/>
              </w:rPr>
              <w:t>7.1.2.2, 7.1.2.3 (Sub-Registrar as Registrar routing)</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 xml:space="preserve">Priest / witness definitions; Form IA; three-witness signing; Form II-A immediate certificate; </w:t>
            </w:r>
            <w:r>
              <w:rPr>
                <w:sz w:val="18"/>
              </w:rPr>
              <w:lastRenderedPageBreak/>
              <w:t>scrutiny / refusal order; Schedule fees</w:t>
            </w:r>
          </w:p>
        </w:tc>
        <w:tc>
          <w:tcPr>
            <w:tcW w:w="2045" w:type="dxa"/>
          </w:tcPr>
          <w:p w:rsidR="008A7495" w:rsidRDefault="00CA5C38">
            <w:r>
              <w:rPr>
                <w:sz w:val="18"/>
              </w:rPr>
              <w:lastRenderedPageBreak/>
              <w:t>Forms IA &amp; II-A; SR scrutiny workflow</w:t>
            </w:r>
          </w:p>
        </w:tc>
        <w:tc>
          <w:tcPr>
            <w:tcW w:w="2045" w:type="dxa"/>
          </w:tcPr>
          <w:p w:rsidR="008A7495" w:rsidRDefault="00CA5C38">
            <w:r>
              <w:rPr>
                <w:sz w:val="18"/>
              </w:rPr>
              <w:t>Rules 1966 docx amendment notes</w:t>
            </w:r>
          </w:p>
        </w:tc>
        <w:tc>
          <w:tcPr>
            <w:tcW w:w="2045" w:type="dxa"/>
          </w:tcPr>
          <w:p w:rsidR="008A7495" w:rsidRDefault="00CA5C38">
            <w:r>
              <w:rPr>
                <w:sz w:val="18"/>
              </w:rPr>
              <w:t>7.1.2.1–7.1.2.3 (Forms IA &amp; II-A; SR scrutiny and refusal)</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c>
          <w:tcPr>
            <w:tcW w:w="2045" w:type="dxa"/>
          </w:tcPr>
          <w:p w:rsidR="008A7495" w:rsidRDefault="00CA5C38">
            <w:r>
              <w:rPr>
                <w:sz w:val="18"/>
              </w:rPr>
              <w:t>7.1.2.2, 7.1.2.3 (Rule 4(1) jurisdiction / memorandum)</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c>
          <w:tcPr>
            <w:tcW w:w="2045" w:type="dxa"/>
          </w:tcPr>
          <w:p w:rsidR="008A7495" w:rsidRDefault="00CA5C38">
            <w:r>
              <w:rPr>
                <w:sz w:val="18"/>
              </w:rPr>
              <w:t>7.1.1, 7.1.2.2 (Online channel; electronic register and certificate)</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c>
          <w:tcPr>
            <w:tcW w:w="2045" w:type="dxa"/>
          </w:tcPr>
          <w:p w:rsidR="008A7495" w:rsidRDefault="00CA5C38">
            <w:r>
              <w:rPr>
                <w:sz w:val="18"/>
              </w:rPr>
              <w:t>7.2, 7.3 (Special Marriage notice and registration)</w:t>
            </w:r>
          </w:p>
        </w:tc>
      </w:tr>
      <w:tr w:rsidR="008A7495">
        <w:tc>
          <w:tcPr>
            <w:tcW w:w="2045" w:type="dxa"/>
          </w:tcPr>
          <w:p w:rsidR="008A7495" w:rsidRDefault="00CA5C38">
            <w:r>
              <w:rPr>
                <w:sz w:val="18"/>
              </w:rPr>
              <w:t>Karnataka Guarantee of Services to Citizens Rules, 2012</w:t>
            </w:r>
          </w:p>
        </w:tc>
        <w:tc>
          <w:tcPr>
            <w:tcW w:w="2045" w:type="dxa"/>
          </w:tcPr>
          <w:p w:rsidR="008A7495" w:rsidRDefault="00CA5C38">
            <w:r>
              <w:rPr>
                <w:sz w:val="18"/>
              </w:rPr>
              <w:t>Gazette 29-Feb-2012 (published 14-Feb-2012 draft)</w:t>
            </w:r>
          </w:p>
        </w:tc>
        <w:tc>
          <w:tcPr>
            <w:tcW w:w="2045" w:type="dxa"/>
          </w:tcPr>
          <w:p w:rsidR="008A7495" w:rsidRDefault="00CA5C38">
            <w:r>
              <w:rPr>
                <w:sz w:val="18"/>
              </w:rPr>
              <w:t>Subordinate rules under Sec. 19 of the Sakala Act — acknowledgement, appeals, compensatory cost and monitoring procedures</w:t>
            </w:r>
          </w:p>
        </w:tc>
        <w:tc>
          <w:tcPr>
            <w:tcW w:w="2045" w:type="dxa"/>
          </w:tcPr>
          <w:p w:rsidR="008A7495" w:rsidRDefault="00CA5C38">
            <w:r>
              <w:rPr>
                <w:sz w:val="18"/>
              </w:rPr>
              <w:t>GSC issuance, appeal workflow, timeline calculation — 3.3.3; FR-HMA-092–093</w:t>
            </w:r>
          </w:p>
        </w:tc>
        <w:tc>
          <w:tcPr>
            <w:tcW w:w="2045" w:type="dxa"/>
          </w:tcPr>
          <w:p w:rsidR="008A7495" w:rsidRDefault="00CA5C38">
            <w:r>
              <w:rPr>
                <w:sz w:val="18"/>
              </w:rPr>
              <w:t>Karnataka Guarantee of Services to Citizens Rules, 2012 (DPAR / Sakala Mission)</w:t>
            </w:r>
          </w:p>
        </w:tc>
        <w:tc>
          <w:tcPr>
            <w:tcW w:w="2045" w:type="dxa"/>
          </w:tcPr>
          <w:p w:rsidR="008A7495" w:rsidRDefault="00CA5C38">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lastRenderedPageBreak/>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3"/>
        <w:rPr>
          <w:sz w:val="24"/>
          <w:szCs w:val="24"/>
        </w:rPr>
      </w:pPr>
      <w:r>
        <w:t>7.5 What is new in Kaveri 3.0</w:t>
      </w:r>
    </w:p>
    <w:p w:rsidR="002524C7" w:rsidRPr="00075B1D" w:rsidRDefault="00251247">
      <w:pPr>
        <w:rPr>
          <w:sz w:val="24"/>
          <w:szCs w:val="24"/>
        </w:rPr>
      </w:pPr>
      <w:r>
        <w:t>This section summarises material enhancements in Kaveri 3.0 compared with the legacy Kaveri 2.0 Marriage Registration module (§6). Each item is implemented in the To-Be process (§7.1–§7.4) and corresponding functional requirements (§8). As-Is pain points from §6.1 are explicitly closed by these capabilities.</w:t>
      </w:r>
    </w:p>
    <w:tbl>
      <w:tblPr>
        <w:tblStyle w:val="TableGrid"/>
        <w:tblW w:w="10627" w:type="dxa"/>
        <w:tblLook w:val="04A0" w:firstRow="1" w:lastRow="0" w:firstColumn="1" w:lastColumn="0" w:noHBand="0" w:noVBand="1"/>
      </w:tblPr>
      <w:tblGrid>
        <w:gridCol w:w="2032"/>
        <w:gridCol w:w="2038"/>
        <w:gridCol w:w="6557"/>
      </w:tblGrid>
      <w:tr w:rsidR="00242474" w:rsidTr="00242474">
        <w:tc>
          <w:tcPr>
            <w:tcW w:w="2032" w:type="dxa"/>
          </w:tcPr>
          <w:p w:rsidR="00242474" w:rsidRDefault="00242474">
            <w:r>
              <w:rPr>
                <w:b/>
                <w:sz w:val="18"/>
              </w:rPr>
              <w:t>#</w:t>
            </w:r>
          </w:p>
        </w:tc>
        <w:tc>
          <w:tcPr>
            <w:tcW w:w="2038" w:type="dxa"/>
          </w:tcPr>
          <w:p w:rsidR="00242474" w:rsidRDefault="00242474">
            <w:r>
              <w:rPr>
                <w:b/>
                <w:sz w:val="18"/>
              </w:rPr>
              <w:t>Capability</w:t>
            </w:r>
          </w:p>
        </w:tc>
        <w:tc>
          <w:tcPr>
            <w:tcW w:w="6557" w:type="dxa"/>
          </w:tcPr>
          <w:p w:rsidR="00242474" w:rsidRDefault="00242474">
            <w:r>
              <w:rPr>
                <w:b/>
                <w:sz w:val="18"/>
              </w:rPr>
              <w:t>What is new in Kaveri 3.0</w:t>
            </w:r>
          </w:p>
        </w:tc>
      </w:tr>
      <w:tr w:rsidR="00242474" w:rsidTr="00242474">
        <w:tc>
          <w:tcPr>
            <w:tcW w:w="2032" w:type="dxa"/>
          </w:tcPr>
          <w:p w:rsidR="00242474" w:rsidRDefault="00242474">
            <w:r>
              <w:rPr>
                <w:sz w:val="18"/>
              </w:rPr>
              <w:t>1</w:t>
            </w:r>
          </w:p>
        </w:tc>
        <w:tc>
          <w:tcPr>
            <w:tcW w:w="2038" w:type="dxa"/>
          </w:tcPr>
          <w:p w:rsidR="00242474" w:rsidRDefault="00242474">
            <w:r>
              <w:rPr>
                <w:sz w:val="18"/>
              </w:rPr>
              <w:t>Dual-channel services</w:t>
            </w:r>
          </w:p>
        </w:tc>
        <w:tc>
          <w:tcPr>
            <w:tcW w:w="6557" w:type="dxa"/>
          </w:tcPr>
          <w:p w:rsidR="00242474" w:rsidRDefault="00242474">
            <w:r>
              <w:rPr>
                <w:sz w:val="18"/>
              </w:rPr>
              <w:t>Special Marriage Notice</w:t>
            </w:r>
          </w:p>
        </w:tc>
      </w:tr>
      <w:tr w:rsidR="00242474" w:rsidTr="00242474">
        <w:tc>
          <w:tcPr>
            <w:tcW w:w="2032" w:type="dxa"/>
          </w:tcPr>
          <w:p w:rsidR="00242474" w:rsidRDefault="00242474">
            <w:r>
              <w:rPr>
                <w:sz w:val="18"/>
              </w:rPr>
              <w:t>2</w:t>
            </w:r>
          </w:p>
        </w:tc>
        <w:tc>
          <w:tcPr>
            <w:tcW w:w="2038" w:type="dxa"/>
          </w:tcPr>
          <w:p w:rsidR="00242474" w:rsidRDefault="00242474">
            <w:r>
              <w:rPr>
                <w:sz w:val="18"/>
              </w:rPr>
              <w:t>Identity verification</w:t>
            </w:r>
          </w:p>
        </w:tc>
        <w:tc>
          <w:tcPr>
            <w:tcW w:w="6557" w:type="dxa"/>
          </w:tcPr>
          <w:p w:rsidR="00242474" w:rsidRDefault="00242474" w:rsidP="00242474">
            <w:r>
              <w:rPr>
                <w:sz w:val="18"/>
              </w:rPr>
              <w:t>Face Authentication on Online paths</w:t>
            </w:r>
          </w:p>
        </w:tc>
      </w:tr>
      <w:tr w:rsidR="00242474" w:rsidTr="00242474">
        <w:tc>
          <w:tcPr>
            <w:tcW w:w="2032" w:type="dxa"/>
          </w:tcPr>
          <w:p w:rsidR="00242474" w:rsidRDefault="00242474">
            <w:r>
              <w:rPr>
                <w:sz w:val="18"/>
              </w:rPr>
              <w:t>7</w:t>
            </w:r>
          </w:p>
        </w:tc>
        <w:tc>
          <w:tcPr>
            <w:tcW w:w="2038" w:type="dxa"/>
          </w:tcPr>
          <w:p w:rsidR="00242474" w:rsidRDefault="00242474">
            <w:r>
              <w:rPr>
                <w:sz w:val="18"/>
              </w:rPr>
              <w:t>Null and Void endorsement</w:t>
            </w:r>
          </w:p>
        </w:tc>
        <w:tc>
          <w:tcPr>
            <w:tcW w:w="6557" w:type="dxa"/>
          </w:tcPr>
          <w:p w:rsidR="00242474" w:rsidRDefault="00242474">
            <w:r>
              <w:rPr>
                <w:sz w:val="18"/>
              </w:rPr>
              <w:t>SRO back-office workflow to record certified court order and flag registered Hindu marriage Null and Void (HMA 1955 Sec. 11–12)</w:t>
            </w:r>
          </w:p>
        </w:tc>
      </w:tr>
      <w:tr w:rsidR="00242474" w:rsidTr="00242474">
        <w:tc>
          <w:tcPr>
            <w:tcW w:w="2032" w:type="dxa"/>
          </w:tcPr>
          <w:p w:rsidR="00242474" w:rsidRDefault="00242474">
            <w:r>
              <w:rPr>
                <w:sz w:val="18"/>
              </w:rPr>
              <w:t>9</w:t>
            </w:r>
          </w:p>
        </w:tc>
        <w:tc>
          <w:tcPr>
            <w:tcW w:w="2038" w:type="dxa"/>
          </w:tcPr>
          <w:p w:rsidR="00242474" w:rsidRDefault="00242474">
            <w:r>
              <w:rPr>
                <w:sz w:val="18"/>
              </w:rPr>
              <w:t>Data capture and address quality</w:t>
            </w:r>
          </w:p>
        </w:tc>
        <w:tc>
          <w:tcPr>
            <w:tcW w:w="6557" w:type="dxa"/>
          </w:tcPr>
          <w:p w:rsidR="00242474" w:rsidRDefault="00242474">
            <w:r>
              <w:rPr>
                <w:sz w:val="18"/>
              </w:rPr>
              <w:t>Structured party/witness capture; MDM-driven address; place of marriage in summary and reports; cross-reference search for registered marriages</w:t>
            </w:r>
          </w:p>
        </w:tc>
      </w:tr>
      <w:tr w:rsidR="00242474" w:rsidTr="00242474">
        <w:tc>
          <w:tcPr>
            <w:tcW w:w="2032" w:type="dxa"/>
          </w:tcPr>
          <w:p w:rsidR="00242474" w:rsidRDefault="00242474">
            <w:r>
              <w:rPr>
                <w:sz w:val="18"/>
              </w:rPr>
              <w:t>10</w:t>
            </w:r>
          </w:p>
        </w:tc>
        <w:tc>
          <w:tcPr>
            <w:tcW w:w="2038" w:type="dxa"/>
          </w:tcPr>
          <w:p w:rsidR="00242474" w:rsidRDefault="00242474">
            <w:r>
              <w:rPr>
                <w:sz w:val="18"/>
              </w:rPr>
              <w:t>Payments and notifications</w:t>
            </w:r>
          </w:p>
        </w:tc>
        <w:tc>
          <w:tcPr>
            <w:tcW w:w="6557" w:type="dxa"/>
          </w:tcPr>
          <w:p w:rsidR="00242474" w:rsidRDefault="00242474">
            <w:r>
              <w:rPr>
                <w:sz w:val="18"/>
              </w:rPr>
              <w:t>Integrated fee payment with receipt (Form VI); resilient payment fallback; SMS and e-Mail notifications across application lifecycle</w:t>
            </w:r>
          </w:p>
        </w:tc>
      </w:tr>
      <w:tr w:rsidR="00242474" w:rsidTr="00242474">
        <w:tc>
          <w:tcPr>
            <w:tcW w:w="2032" w:type="dxa"/>
          </w:tcPr>
          <w:p w:rsidR="00242474" w:rsidRDefault="00242474">
            <w:r>
              <w:rPr>
                <w:sz w:val="18"/>
              </w:rPr>
              <w:t>11</w:t>
            </w:r>
          </w:p>
        </w:tc>
        <w:tc>
          <w:tcPr>
            <w:tcW w:w="2038" w:type="dxa"/>
          </w:tcPr>
          <w:p w:rsidR="00242474" w:rsidRDefault="00242474" w:rsidP="00DA2F49">
            <w:r>
              <w:rPr>
                <w:sz w:val="18"/>
              </w:rPr>
              <w:t xml:space="preserve">Integrations </w:t>
            </w:r>
          </w:p>
        </w:tc>
        <w:tc>
          <w:tcPr>
            <w:tcW w:w="6557"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242474">
        <w:tc>
          <w:tcPr>
            <w:tcW w:w="2032" w:type="dxa"/>
          </w:tcPr>
          <w:p w:rsidR="00242474" w:rsidRDefault="00242474">
            <w:r>
              <w:rPr>
                <w:sz w:val="18"/>
              </w:rPr>
              <w:t>12</w:t>
            </w:r>
          </w:p>
        </w:tc>
        <w:tc>
          <w:tcPr>
            <w:tcW w:w="2038" w:type="dxa"/>
          </w:tcPr>
          <w:p w:rsidR="00242474" w:rsidRDefault="00DA2F49">
            <w:r>
              <w:rPr>
                <w:sz w:val="18"/>
              </w:rPr>
              <w:t>UI/UX experience</w:t>
            </w:r>
            <w:bookmarkStart w:id="0" w:name="_GoBack"/>
            <w:bookmarkEnd w:id="0"/>
          </w:p>
        </w:tc>
        <w:tc>
          <w:tcPr>
            <w:tcW w:w="6557"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lastRenderedPageBreak/>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lastRenderedPageBreak/>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lastRenderedPageBreak/>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eSign; Hindu Marriage Offline: immediately before SR Verification Stage 1 submission), system shall display statutory highlight panels for HMA Sec. 17 </w:t>
            </w:r>
            <w:r w:rsidRPr="00075B1D">
              <w:rPr>
                <w:sz w:val="24"/>
                <w:szCs w:val="24"/>
              </w:rPr>
              <w:lastRenderedPageBreak/>
              <w:t>(Punishment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lastRenderedPageBreak/>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selected SRO (before </w:t>
            </w:r>
            <w:r w:rsidRPr="00075B1D">
              <w:rPr>
                <w:sz w:val="24"/>
                <w:szCs w:val="24"/>
              </w:rPr>
              <w:lastRenderedPageBreak/>
              <w:t>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 xml:space="preserve">System shall block certificate generation if DSC is unavailable / </w:t>
            </w:r>
            <w:r w:rsidRPr="00075B1D">
              <w:rPr>
                <w:sz w:val="24"/>
                <w:szCs w:val="24"/>
              </w:rPr>
              <w:lastRenderedPageBreak/>
              <w:t>expired, with a clear message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4"/>
        <w:rPr>
          <w:sz w:val="24"/>
          <w:szCs w:val="24"/>
        </w:rPr>
      </w:pPr>
      <w:r>
        <w:t>8.1.17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 xml:space="preserve">System shall allow Sub-Registrar to record nullity type as declared in court order — </w:t>
            </w:r>
            <w:r>
              <w:rPr>
                <w:sz w:val="18"/>
              </w:rPr>
              <w:lastRenderedPageBreak/>
              <w:t>Void (Sec. 11) or Voidable / annulled (Sec. 12) — and flag the marriage registration as Null and Void</w:t>
            </w:r>
          </w:p>
        </w:tc>
        <w:tc>
          <w:tcPr>
            <w:tcW w:w="2556" w:type="dxa"/>
          </w:tcPr>
          <w:p w:rsidR="00AA7329" w:rsidRDefault="00242474">
            <w:r>
              <w:rPr>
                <w:sz w:val="18"/>
              </w:rPr>
              <w:lastRenderedPageBreak/>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spouse living; capacity to give valid consent; bridegroom ≥ 21 and </w:t>
            </w:r>
            <w:r w:rsidRPr="00075B1D">
              <w:rPr>
                <w:sz w:val="24"/>
                <w:szCs w:val="24"/>
              </w:rPr>
              <w:lastRenderedPageBreak/>
              <w:t>bride ≥ 18 years; parties not within 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Aadhaar information is unavailable, system shall allow manual capture of bride and bridegroom details </w:t>
            </w:r>
            <w:r w:rsidRPr="00075B1D">
              <w:rPr>
                <w:sz w:val="24"/>
                <w:szCs w:val="24"/>
              </w:rPr>
              <w:lastRenderedPageBreak/>
              <w:t>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lastRenderedPageBreak/>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lastRenderedPageBreak/>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lastRenderedPageBreak/>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downloads, prints, signs, scans and </w:t>
            </w:r>
            <w:r w:rsidRPr="00075B1D">
              <w:rPr>
                <w:sz w:val="24"/>
                <w:szCs w:val="24"/>
              </w:rPr>
              <w:lastRenderedPageBreak/>
              <w:t>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 xml:space="preserve">Where the notice is outside the validity window, system shall </w:t>
            </w:r>
            <w:r w:rsidRPr="00075B1D">
              <w:rPr>
                <w:sz w:val="24"/>
                <w:szCs w:val="24"/>
              </w:rPr>
              <w:lastRenderedPageBreak/>
              <w:t>allow no further action and display the statutory reason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lastRenderedPageBreak/>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 xml:space="preserve">SR shall verify the application before solemnization; rejection shall return the application to the </w:t>
            </w:r>
            <w:r w:rsidRPr="00075B1D">
              <w:rPr>
                <w:sz w:val="24"/>
                <w:szCs w:val="24"/>
              </w:rPr>
              <w:lastRenderedPageBreak/>
              <w:t>visit scheduling step with a recorded reason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w:t>
            </w:r>
            <w:r w:rsidRPr="00075B1D">
              <w:rPr>
                <w:sz w:val="24"/>
                <w:szCs w:val="24"/>
              </w:rPr>
              <w:lastRenderedPageBreak/>
              <w:t>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w:t>
            </w:r>
            <w:r w:rsidRPr="00075B1D">
              <w:rPr>
                <w:sz w:val="24"/>
                <w:szCs w:val="24"/>
              </w:rPr>
              <w:lastRenderedPageBreak/>
              <w:t>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w:t>
            </w:r>
            <w:r w:rsidRPr="00075B1D">
              <w:rPr>
                <w:sz w:val="24"/>
                <w:szCs w:val="24"/>
              </w:rPr>
              <w:lastRenderedPageBreak/>
              <w:t xml:space="preserve">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 xml:space="preserve">System shall provide an SRO-only back-office function to initiate Null and Void endorsement on a registered Hindu marriage upon presentation of a certified court order (HMA 1955 </w:t>
            </w:r>
            <w:r w:rsidRPr="00075B1D">
              <w:rPr>
                <w:sz w:val="24"/>
                <w:szCs w:val="24"/>
              </w:rPr>
              <w:lastRenderedPageBreak/>
              <w:t>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 xml:space="preserve">System shall prevent issuance of certified extracts for null/void-endorsed records unless the extract carries the null/void notation; audit </w:t>
            </w:r>
            <w:r w:rsidRPr="00075B1D">
              <w:rPr>
                <w:sz w:val="24"/>
                <w:szCs w:val="24"/>
              </w:rPr>
              <w:lastRenderedPageBreak/>
              <w:t>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lastRenderedPageBreak/>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lastRenderedPageBreak/>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 xml:space="preserve">System shall provide Marriage Notice Book and Marriage Certificate Book </w:t>
            </w:r>
            <w:r w:rsidRPr="00075B1D">
              <w:rPr>
                <w:sz w:val="24"/>
                <w:szCs w:val="24"/>
              </w:rPr>
              <w:lastRenderedPageBreak/>
              <w:t>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w:t>
            </w:r>
            <w:r w:rsidRPr="00075B1D">
              <w:rPr>
                <w:sz w:val="24"/>
                <w:szCs w:val="24"/>
              </w:rPr>
              <w:lastRenderedPageBreak/>
              <w:t xml:space="preserve">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49" w:type="dxa"/>
          </w:tcPr>
          <w:p w:rsidR="0085204D" w:rsidRDefault="00F90C8A">
            <w:r>
              <w:rPr>
                <w:sz w:val="18"/>
              </w:rPr>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 xml:space="preserve">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w:t>
            </w:r>
            <w:r>
              <w:rPr>
                <w:sz w:val="18"/>
              </w:rPr>
              <w:lastRenderedPageBreak/>
              <w:t>conform to the Sakala schema; failed or orphaned transmissions shall be logged and retried without blocking the citizen workflow (see FB-MRG-005)</w:t>
            </w:r>
          </w:p>
        </w:tc>
        <w:tc>
          <w:tcPr>
            <w:tcW w:w="2549" w:type="dxa"/>
          </w:tcPr>
          <w:p w:rsidR="0085204D" w:rsidRDefault="00F90C8A">
            <w:r>
              <w:rPr>
                <w:sz w:val="18"/>
              </w:rPr>
              <w:lastRenderedPageBreak/>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 xml:space="preserve">Offline: an appointment is mandatory before </w:t>
            </w:r>
            <w:r w:rsidRPr="00075B1D">
              <w:rPr>
                <w:sz w:val="24"/>
                <w:szCs w:val="24"/>
              </w:rPr>
              <w:lastRenderedPageBreak/>
              <w:t>signed forms can be uploaded</w:t>
            </w:r>
          </w:p>
        </w:tc>
        <w:tc>
          <w:tcPr>
            <w:tcW w:w="2556" w:type="dxa"/>
          </w:tcPr>
          <w:p w:rsidR="002524C7" w:rsidRPr="00075B1D" w:rsidRDefault="00251247">
            <w:pPr>
              <w:spacing w:before="20" w:after="20"/>
              <w:rPr>
                <w:sz w:val="24"/>
                <w:szCs w:val="24"/>
              </w:rPr>
            </w:pPr>
            <w:r w:rsidRPr="00075B1D">
              <w:rPr>
                <w:sz w:val="24"/>
                <w:szCs w:val="24"/>
              </w:rPr>
              <w:lastRenderedPageBreak/>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r w:rsidRPr="00075B1D">
              <w:rPr>
                <w:sz w:val="24"/>
                <w:szCs w:val="24"/>
              </w:rPr>
              <w:lastRenderedPageBreak/>
              <w:t>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lastRenderedPageBreak/>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 xml:space="preserve">Merged into Prerequisite + declaration screen per updated diagrams — do </w:t>
            </w:r>
            <w:r w:rsidRPr="00075B1D">
              <w:rPr>
                <w:sz w:val="24"/>
                <w:szCs w:val="24"/>
              </w:rPr>
              <w:lastRenderedPageBreak/>
              <w:t>not implement as a separate step</w:t>
            </w:r>
          </w:p>
        </w:tc>
        <w:tc>
          <w:tcPr>
            <w:tcW w:w="2045" w:type="dxa"/>
          </w:tcPr>
          <w:p w:rsidR="002524C7" w:rsidRPr="00075B1D" w:rsidRDefault="00251247">
            <w:pPr>
              <w:spacing w:before="20" w:after="20"/>
              <w:rPr>
                <w:sz w:val="24"/>
                <w:szCs w:val="24"/>
              </w:rPr>
            </w:pPr>
            <w:r w:rsidRPr="00075B1D">
              <w:rPr>
                <w:sz w:val="24"/>
                <w:szCs w:val="24"/>
              </w:rPr>
              <w:lastRenderedPageBreak/>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lastRenderedPageBreak/>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lastRenderedPageBreak/>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lastRenderedPageBreak/>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8"/>
        <w:gridCol w:w="1715"/>
        <w:gridCol w:w="2046"/>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lastRenderedPageBreak/>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lastRenderedPageBreak/>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 xml:space="preserve">If external integrations (eSign, DigiLocker, Sakala or SMS / email gateways) experience downtime, the system shall display a clear, user-friendly error </w:t>
            </w:r>
            <w:r w:rsidRPr="00075B1D">
              <w:rPr>
                <w:sz w:val="24"/>
                <w:szCs w:val="24"/>
              </w:rPr>
              <w:lastRenderedPageBreak/>
              <w:t>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lastRenderedPageBreak/>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 xml:space="preserve">Any critical or high-severity vulnerability identified during the </w:t>
            </w:r>
            <w:r w:rsidRPr="00075B1D">
              <w:rPr>
                <w:sz w:val="24"/>
                <w:szCs w:val="24"/>
              </w:rPr>
              <w:lastRenderedPageBreak/>
              <w:t>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Zero open Critical/High at Go-Live; retest report; manual </w:t>
            </w:r>
            <w:r w:rsidRPr="00075B1D">
              <w:rPr>
                <w:sz w:val="24"/>
                <w:szCs w:val="24"/>
              </w:rPr>
              <w:lastRenderedPageBreak/>
              <w:t>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xml:space="preserve">, or </w:t>
            </w:r>
            <w:r w:rsidRPr="00075B1D">
              <w:rPr>
                <w:sz w:val="24"/>
                <w:szCs w:val="24"/>
              </w:rPr>
              <w:lastRenderedPageBreak/>
              <w:t>payment gateway) blocks applications mid-flow</w:t>
            </w:r>
          </w:p>
        </w:tc>
        <w:tc>
          <w:tcPr>
            <w:tcW w:w="2556" w:type="dxa"/>
          </w:tcPr>
          <w:p w:rsidR="00450BD5" w:rsidRPr="00075B1D" w:rsidRDefault="00E91FC6">
            <w:pPr>
              <w:rPr>
                <w:sz w:val="24"/>
                <w:szCs w:val="24"/>
              </w:rPr>
            </w:pPr>
            <w:r w:rsidRPr="00075B1D">
              <w:rPr>
                <w:sz w:val="24"/>
                <w:szCs w:val="24"/>
              </w:rPr>
              <w:lastRenderedPageBreak/>
              <w:t xml:space="preserve">Build asynchronous / resumable workflows. If e-KYC / Aadhaar fails, provide a seamless </w:t>
            </w:r>
            <w:r w:rsidRPr="00075B1D">
              <w:rPr>
                <w:sz w:val="24"/>
                <w:szCs w:val="24"/>
              </w:rPr>
              <w:lastRenderedPageBreak/>
              <w:t xml:space="preserve">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lastRenderedPageBreak/>
              <w:t>FR-SMA-009 / FR-SMA-010; FR-HMA-058; NFR-MRG-AVA-001; FB-</w:t>
            </w:r>
            <w:r w:rsidRPr="00075B1D">
              <w:rPr>
                <w:sz w:val="24"/>
                <w:szCs w:val="24"/>
              </w:rPr>
              <w:lastRenderedPageBreak/>
              <w:t>MRG-001 / FB-MRG-002</w:t>
            </w:r>
          </w:p>
        </w:tc>
      </w:tr>
      <w:tr w:rsidR="00450BD5" w:rsidRPr="00075B1D">
        <w:tc>
          <w:tcPr>
            <w:tcW w:w="2556" w:type="dxa"/>
          </w:tcPr>
          <w:p w:rsidR="00450BD5" w:rsidRPr="00075B1D" w:rsidRDefault="00E91FC6">
            <w:pPr>
              <w:rPr>
                <w:sz w:val="24"/>
                <w:szCs w:val="24"/>
              </w:rPr>
            </w:pPr>
            <w:r w:rsidRPr="00075B1D">
              <w:rPr>
                <w:sz w:val="24"/>
                <w:szCs w:val="24"/>
              </w:rPr>
              <w:lastRenderedPageBreak/>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t>
            </w:r>
            <w:r w:rsidRPr="00075B1D">
              <w:rPr>
                <w:sz w:val="24"/>
                <w:szCs w:val="24"/>
              </w:rPr>
              <w:lastRenderedPageBreak/>
              <w:t>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lastRenderedPageBreak/>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 xml:space="preserve">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w:t>
            </w:r>
            <w:r w:rsidRPr="00075B1D">
              <w:rPr>
                <w:sz w:val="24"/>
                <w:szCs w:val="24"/>
              </w:rPr>
              <w:lastRenderedPageBreak/>
              <w:t>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lastRenderedPageBreak/>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885F8"/>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4DE41-BFDE-4DCD-A4F5-B4AA6BB403E5}">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609</TotalTime>
  <Pages>100</Pages>
  <Words>20508</Words>
  <Characters>116900</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119</cp:revision>
  <cp:lastPrinted>2026-09-01T13:14:00Z</cp:lastPrinted>
  <dcterms:created xsi:type="dcterms:W3CDTF">2026-08-24T14:31:00Z</dcterms:created>
  <dcterms:modified xsi:type="dcterms:W3CDTF">2026-09-03T04:39:00Z</dcterms:modified>
  <cp:category/>
</cp:coreProperties>
</file>