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0B36" w:rsidRDefault="00D917EC">
      <w:pPr>
        <w:pStyle w:val="Heading1"/>
      </w:pPr>
      <w:r>
        <w:t xml:space="preserve">1. Today’s discussion points (25 </w:t>
      </w:r>
      <w:r>
        <w:t>August 2026)</w:t>
      </w:r>
    </w:p>
    <w:p w:rsidR="00D30B36" w:rsidRDefault="00D917EC">
      <w:pPr>
        <w:spacing w:after="120"/>
      </w:pPr>
      <w:r>
        <w:rPr>
          <w:rFonts w:ascii="Calibri" w:eastAsia="Calibri" w:hAnsi="Calibri"/>
          <w:sz w:val="20"/>
        </w:rPr>
        <w:t>Source: Requirement Discussions/Schedule/Kaveri_Requirements_Updated_Schedule_v3_DocumentSubModules.xlsx — Revised Schedule.</w:t>
      </w:r>
    </w:p>
    <w:p w:rsidR="00D30B36" w:rsidRDefault="00D917EC">
      <w:pPr>
        <w:pStyle w:val="Heading2"/>
      </w:pPr>
      <w:r>
        <w:t>1.1 Scheduled items for today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8"/>
        <w:gridCol w:w="1679"/>
        <w:gridCol w:w="1679"/>
        <w:gridCol w:w="1678"/>
        <w:gridCol w:w="1678"/>
        <w:gridCol w:w="1678"/>
      </w:tblGrid>
      <w:tr w:rsidR="00D30B36">
        <w:tc>
          <w:tcPr>
            <w:tcW w:w="168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Sr.</w:t>
            </w:r>
          </w:p>
        </w:tc>
        <w:tc>
          <w:tcPr>
            <w:tcW w:w="168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w="168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Discussion topic</w:t>
            </w:r>
          </w:p>
        </w:tc>
        <w:tc>
          <w:tcPr>
            <w:tcW w:w="168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Owner</w:t>
            </w:r>
          </w:p>
        </w:tc>
        <w:tc>
          <w:tcPr>
            <w:tcW w:w="168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Duration / window</w:t>
            </w:r>
          </w:p>
        </w:tc>
        <w:tc>
          <w:tcPr>
            <w:tcW w:w="168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Notes</w:t>
            </w:r>
          </w:p>
        </w:tc>
      </w:tr>
      <w:tr w:rsidR="00D30B36">
        <w:tc>
          <w:tcPr>
            <w:tcW w:w="168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12</w:t>
            </w:r>
          </w:p>
        </w:tc>
        <w:tc>
          <w:tcPr>
            <w:tcW w:w="168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Document</w:t>
            </w:r>
          </w:p>
        </w:tc>
        <w:tc>
          <w:tcPr>
            <w:tcW w:w="168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Registration core: Registration, Appointment, Status tracking (Current issues &amp; process walkthrough)</w:t>
            </w:r>
          </w:p>
        </w:tc>
        <w:tc>
          <w:tcPr>
            <w:tcW w:w="168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DSR</w:t>
            </w:r>
          </w:p>
        </w:tc>
        <w:tc>
          <w:tcPr>
            <w:tcW w:w="168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2 days — 25-08 to 27-08-2026</w:t>
            </w:r>
          </w:p>
        </w:tc>
        <w:tc>
          <w:tcPr>
            <w:tcW w:w="168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Sub-modules #</w:t>
            </w:r>
            <w:r>
              <w:rPr>
                <w:rFonts w:ascii="Calibri" w:eastAsia="Calibri" w:hAnsi="Calibri"/>
                <w:sz w:val="18"/>
              </w:rPr>
              <w:t>1, #2, #19; skip 26-08 holiday</w:t>
            </w:r>
          </w:p>
        </w:tc>
      </w:tr>
    </w:tbl>
    <w:p w:rsidR="00D30B36" w:rsidRDefault="00D30B36"/>
    <w:p w:rsidR="00D30B36" w:rsidRDefault="00D30B36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7"/>
        <w:gridCol w:w="2518"/>
        <w:gridCol w:w="2518"/>
        <w:gridCol w:w="2517"/>
      </w:tblGrid>
      <w:tr w:rsidR="00D30B36"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Block</w:t>
            </w:r>
          </w:p>
        </w:tc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Topic</w:t>
            </w:r>
          </w:p>
        </w:tc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What to cover today</w:t>
            </w:r>
          </w:p>
        </w:tc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Defer to 27-Aug if needed</w:t>
            </w:r>
          </w:p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Registration (#1)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 xml:space="preserve">As-is citizen → SRO registration lifecycle; step model; refusal / send-back; document number </w:t>
            </w:r>
            <w:r>
              <w:rPr>
                <w:rFonts w:ascii="Calibri" w:eastAsia="Calibri" w:hAnsi="Calibri"/>
                <w:sz w:val="18"/>
              </w:rPr>
              <w:t>generation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Deep deed-type edge cases; concurrent audit path detail</w:t>
            </w:r>
          </w:p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B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Appointment (#2)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Slot booking after payment; reschedule / cancel; SRO calendar capacity; payment–slot sync failures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Multi-office / private residence registration (s.31) special cases</w:t>
            </w:r>
          </w:p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Status tracking (#19)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Citizen &amp; department status views; Sakala linkage; stuck-step visibility; acknowledgement / Step 10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Cross-module dashboard (Sr.24)</w:t>
            </w:r>
          </w:p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Current issues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Prioritised ServiceDesk themes in §2; validate with IT Cell / field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 xml:space="preserve">Fees, valuation, </w:t>
            </w:r>
            <w:r>
              <w:rPr>
                <w:rFonts w:ascii="Calibri" w:eastAsia="Calibri" w:hAnsi="Calibri"/>
                <w:sz w:val="18"/>
              </w:rPr>
              <w:t>Rule 17, scanning, memo (later Sr.)</w:t>
            </w:r>
          </w:p>
        </w:tc>
      </w:tr>
    </w:tbl>
    <w:p w:rsidR="00D30B36" w:rsidRDefault="00D30B36"/>
    <w:p w:rsidR="00D30B36" w:rsidRDefault="00D917EC">
      <w:pPr>
        <w:pStyle w:val="Heading1"/>
      </w:pPr>
      <w:r>
        <w:t>2. Pain points in the curre</w:t>
      </w:r>
      <w:r>
        <w:t>nt Kaveri 2.0 system (Registration / Appointment / Status)</w:t>
      </w:r>
    </w:p>
    <w:p w:rsidR="00D30B36" w:rsidRDefault="00D917EC">
      <w:pPr>
        <w:spacing w:after="120"/>
      </w:pPr>
      <w:r>
        <w:rPr>
          <w:rFonts w:ascii="Calibri" w:eastAsia="Calibri" w:hAnsi="Calibri"/>
          <w:sz w:val="20"/>
        </w:rPr>
        <w:t xml:space="preserve">Evidence: Requirement Discussions/ServiceDesk Issues/ServiceDeskIssuesList.xlsx — Categorized (curated themes with ticket IDs, often 78k–95k range) and OverallList. Focus below is limited to Sr.12 </w:t>
      </w:r>
      <w:r>
        <w:rPr>
          <w:rFonts w:ascii="Calibri" w:eastAsia="Calibri" w:hAnsi="Calibri"/>
          <w:sz w:val="20"/>
        </w:rPr>
        <w:t>sub-modules #1 Registration, #2 Appointment, #19 Status tracking. Fees, scanning, Rule 17, memo, court entry, Bhoomi/E-Aasthi integrations are listed only where they break the core registration path.</w:t>
      </w:r>
    </w:p>
    <w:p w:rsidR="00D30B36" w:rsidRDefault="00D917EC">
      <w:pPr>
        <w:pStyle w:val="Heading2"/>
      </w:pPr>
      <w:r>
        <w:t>2.1 Priority pain points (discussion focus)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4"/>
        <w:gridCol w:w="7404"/>
      </w:tblGrid>
      <w:tr w:rsidR="00D917EC" w:rsidTr="00D917EC">
        <w:tc>
          <w:tcPr>
            <w:tcW w:w="2514" w:type="dxa"/>
            <w:shd w:val="clear" w:color="auto" w:fill="1F4E79"/>
          </w:tcPr>
          <w:p w:rsidR="00D917EC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w="7404" w:type="dxa"/>
            <w:shd w:val="clear" w:color="auto" w:fill="1F4E79"/>
          </w:tcPr>
          <w:p w:rsidR="00D917EC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Pain Point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DOC-PP-01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Unable to schedule / book appointment after payment; schedule option missing; still shows Make Payment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DOC-PP-02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Payment–status desync (paid but pending payment; sent-back apps ask payment with ₹0)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DOC-PP-03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Step / role allocation mismatch — app stuck in wrong login (DEO/SR/FDA/SDA)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DOC-PP-04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Unable to verify application / send back to citizen for payment or rectify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DOC-PP-05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Document Summary defects — photos/thumbs wrong or “party refused/not appeared”; Aadhaar name mismatch; fees zero; property/sub-article missing; Check &amp; Register disabled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DOC-PP-06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Endorsement / certificate defects — missing parties, fees, photos/thumbs; print disabled; remarks wrong after Doc No. generated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DOC-PP-07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Digital sign Step 9 failures — SR name missing; popup not opening; already signed still pending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DOC-PP-08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Withdraw / reschedule / rejected-app handling incomplete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lastRenderedPageBreak/>
              <w:t>DOC-PP-09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Upload / party-detail save failures in citizen login; SRO dropdown empty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DOC-PP-10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Sakala cleared but still reflecting in SR login (incl. Document Registration)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DOC-PP-11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Acknowledgement / Step 10 print failures</w:t>
            </w:r>
          </w:p>
        </w:tc>
      </w:tr>
      <w:tr w:rsidR="00D917EC" w:rsidTr="00D917EC">
        <w:tc>
          <w:tcPr>
            <w:tcW w:w="251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DOC-PP-12</w:t>
            </w:r>
          </w:p>
        </w:tc>
        <w:tc>
          <w:tcPr>
            <w:tcW w:w="7404" w:type="dxa"/>
          </w:tcPr>
          <w:p w:rsidR="00D917EC" w:rsidRDefault="00D917EC">
            <w:r>
              <w:rPr>
                <w:rFonts w:ascii="Calibri" w:eastAsia="Calibri" w:hAnsi="Calibri"/>
                <w:sz w:val="18"/>
              </w:rPr>
              <w:t>Pending-document / minute-book routing leaks into wrong login (citizen appointment vs SR minute book)</w:t>
            </w:r>
          </w:p>
        </w:tc>
      </w:tr>
    </w:tbl>
    <w:p w:rsidR="00D30B36" w:rsidRDefault="00D30B36"/>
    <w:p w:rsidR="00D30B36" w:rsidRDefault="00D917EC">
      <w:pPr>
        <w:pStyle w:val="Heading1"/>
      </w:pPr>
      <w:r>
        <w:t xml:space="preserve">3. Governing Acts &amp; </w:t>
      </w:r>
      <w:r>
        <w:t>Rules (from Acts_Rules/Document)</w:t>
      </w:r>
    </w:p>
    <w:p w:rsidR="00D30B36" w:rsidRDefault="00D917EC">
      <w:pPr>
        <w:spacing w:after="120"/>
      </w:pPr>
      <w:r>
        <w:rPr>
          <w:rFonts w:ascii="Calibri" w:eastAsia="Calibri" w:hAnsi="Calibri"/>
          <w:sz w:val="20"/>
        </w:rPr>
        <w:t>Use this section during the process walkthrough to check that Kaveri 3.0 steps map to statutory duties — not invent parallel unofficial stages.</w:t>
      </w:r>
    </w:p>
    <w:p w:rsidR="00D30B36" w:rsidRDefault="00D917EC">
      <w:pPr>
        <w:pStyle w:val="Heading2"/>
      </w:pPr>
      <w:r>
        <w:t>3.1 Primary statutes &amp; rules for Registration core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5"/>
        <w:gridCol w:w="4884"/>
        <w:gridCol w:w="2811"/>
      </w:tblGrid>
      <w:tr w:rsidR="00D30B36">
        <w:tc>
          <w:tcPr>
            <w:tcW w:w="336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Instrument</w:t>
            </w:r>
          </w:p>
        </w:tc>
        <w:tc>
          <w:tcPr>
            <w:tcW w:w="336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File (Acts_Rules/</w:t>
            </w:r>
            <w:r>
              <w:rPr>
                <w:rFonts w:ascii="Calibri" w:eastAsia="Calibri" w:hAnsi="Calibri"/>
                <w:b/>
                <w:color w:val="FFFFFF"/>
                <w:sz w:val="18"/>
              </w:rPr>
              <w:t>Document)</w:t>
            </w:r>
          </w:p>
        </w:tc>
        <w:tc>
          <w:tcPr>
            <w:tcW w:w="336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Relevance to today’s topics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The Registration Act, 1908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the_registration_act,_1908.pdf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Core: registrable docs (s.17–22); time of presentation (s.23–26); place (s.28–31); presenting persons (s.32–33); enquiry before registration (s.34–35); endorse</w:t>
            </w:r>
            <w:r>
              <w:rPr>
                <w:rFonts w:ascii="Calibri" w:eastAsia="Calibri" w:hAnsi="Calibri"/>
                <w:sz w:val="18"/>
              </w:rPr>
              <w:t>ments/certificates &amp; books (Parts XI–XII themes); refusal (s.71–77); fees (s.78–80); s.32A photo/thumb; s.16A electronic books.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The Karnataka Registration Rules, 1965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The Karnataka Registration Rules 1965.pdf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Operational detail: Ch.IX Presentation &amp; exami</w:t>
            </w:r>
            <w:r>
              <w:rPr>
                <w:rFonts w:ascii="Calibri" w:eastAsia="Calibri" w:hAnsi="Calibri"/>
                <w:sz w:val="18"/>
              </w:rPr>
              <w:t>nation (Rr.37–48); Ch.XII Presentation &amp; examination of parties (Rr.71–80 thumb); Ch.XVI Endorsements &amp; certificates (Rr.94–); Ch.XVII Receipts for documents/fees/return (Rr.110–); Register Books (Ch.XVIII).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Registration (Karnataka Amendment) Acts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Registration(KarnatakaAmendment)Act*.pdf; TheRegistration(KarnatakaAmendment)Act2023(47of2024).pdf; (32 of 2001)…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State-specific amendments overlaying Central Act — confirm which amended sections apply to online presentation, photos, and computerised books</w:t>
            </w:r>
            <w:r>
              <w:rPr>
                <w:rFonts w:ascii="Calibri" w:eastAsia="Calibri" w:hAnsi="Calibri"/>
                <w:sz w:val="18"/>
              </w:rPr>
              <w:t>.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Registration Act Notification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RegistrationActNotification.pdf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Notifications bringing amendments / procedures into force — confirm e-registration related notifications in force.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Karnataka Stamp Act 1957 + Rules / Schedule / e-Stamp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THE KARNATAKA STAMP A</w:t>
            </w:r>
            <w:r>
              <w:rPr>
                <w:rFonts w:ascii="Calibri" w:eastAsia="Calibri" w:hAnsi="Calibri"/>
                <w:sz w:val="18"/>
              </w:rPr>
              <w:t>CT 1957.pdf; Karnataka Stamps Rules 1958.pdf; Schedule 2022; e-Stamping PDFs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Payment of proper stamp duty before/at presentation (Rules R.47 analogue) — gate for registration; deep calculation parked to Sr.13.</w:t>
            </w:r>
          </w:p>
        </w:tc>
      </w:tr>
    </w:tbl>
    <w:p w:rsidR="00D30B36" w:rsidRDefault="00D30B36"/>
    <w:p w:rsidR="00D30B36" w:rsidRDefault="00D917EC">
      <w:pPr>
        <w:pStyle w:val="Heading2"/>
      </w:pPr>
      <w:r>
        <w:t xml:space="preserve">3.2 Statutory anchors for today’s three </w:t>
      </w:r>
      <w:r>
        <w:t>sub-modules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D30B36">
        <w:tc>
          <w:tcPr>
            <w:tcW w:w="336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Sub-module</w:t>
            </w:r>
          </w:p>
        </w:tc>
        <w:tc>
          <w:tcPr>
            <w:tcW w:w="336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Legal anchors to verify in walkthrough</w:t>
            </w:r>
          </w:p>
        </w:tc>
        <w:tc>
          <w:tcPr>
            <w:tcW w:w="336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System implication for 3.0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#1 Registration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 xml:space="preserve">Act s.17–22 (what must be registered); s.32–35 (who presents; enquiry; admission/denial); s.71–77 (refusal &amp; appeal); s.32A (photo etc.); Rules Ch.IX </w:t>
            </w:r>
            <w:r>
              <w:rPr>
                <w:rFonts w:ascii="Calibri" w:eastAsia="Calibri" w:hAnsi="Calibri"/>
                <w:sz w:val="18"/>
              </w:rPr>
              <w:t>&amp; XII (examination, thumb); Ch.XVI (endorsement/certificate); Ch.XVIII (register books / s.16A computer records)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 xml:space="preserve">Step model must produce: examination → admission/denial record → endorsement/certificate → book entry → receipt/return. “Check &amp; Register” and </w:t>
            </w:r>
            <w:r>
              <w:rPr>
                <w:rFonts w:ascii="Calibri" w:eastAsia="Calibri" w:hAnsi="Calibri"/>
                <w:sz w:val="18"/>
              </w:rPr>
              <w:t>Summary must be legally complete artefacts.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lastRenderedPageBreak/>
              <w:t>#2 Appointment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Act Part IV/V presentation timing &amp; place (s.23–31); Rules R.37/40/72 (office where presented; manner; place); office hours/holidays (Rules Ch.II)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Appointment is the controlled presentation slot —</w:t>
            </w:r>
            <w:r>
              <w:rPr>
                <w:rFonts w:ascii="Calibri" w:eastAsia="Calibri" w:hAnsi="Calibri"/>
                <w:sz w:val="18"/>
              </w:rPr>
              <w:t xml:space="preserve"> must sync payment, jurisdiction SRO, capacity, holidays (incl. today+1 Eid). Reschedule/withdraw must not orphan PRP numbers (see DOC-PP-08).</w:t>
            </w:r>
          </w:p>
        </w:tc>
      </w:tr>
      <w:tr w:rsidR="00D30B36"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#19 Status tracking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Act effects of registration (s.47–49); refusal reasons to be recorded (s.71); receipts (Rule</w:t>
            </w:r>
            <w:r>
              <w:rPr>
                <w:rFonts w:ascii="Calibri" w:eastAsia="Calibri" w:hAnsi="Calibri"/>
                <w:sz w:val="18"/>
              </w:rPr>
              <w:t>s Ch.XVII); Sakala service levels (operational, not in Act folder)</w:t>
            </w:r>
          </w:p>
        </w:tc>
        <w:tc>
          <w:tcPr>
            <w:tcW w:w="336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Single status model for citizen &amp; department: Draft → Paid → Appointment booked → Under process (step) → Registered / Refused / Withdrawn / Sent back — with audit trail and Sakala reconcili</w:t>
            </w:r>
            <w:r>
              <w:rPr>
                <w:rFonts w:ascii="Calibri" w:eastAsia="Calibri" w:hAnsi="Calibri"/>
                <w:sz w:val="18"/>
              </w:rPr>
              <w:t>ation.</w:t>
            </w:r>
          </w:p>
        </w:tc>
      </w:tr>
    </w:tbl>
    <w:p w:rsidR="00D30B36" w:rsidRDefault="00D30B36"/>
    <w:p w:rsidR="00D30B36" w:rsidRDefault="00D917EC">
      <w:pPr>
        <w:pStyle w:val="Heading2"/>
      </w:pPr>
      <w:r>
        <w:t xml:space="preserve">4.2 Decision questions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6"/>
        <w:gridCol w:w="2518"/>
        <w:gridCol w:w="2519"/>
        <w:gridCol w:w="2517"/>
      </w:tblGrid>
      <w:tr w:rsidR="00D30B36"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DQ#</w:t>
            </w:r>
          </w:p>
        </w:tc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Discussion point</w:t>
            </w:r>
          </w:p>
        </w:tc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Options / notes</w:t>
            </w:r>
          </w:p>
        </w:tc>
        <w:tc>
          <w:tcPr>
            <w:tcW w:w="2520" w:type="dxa"/>
            <w:shd w:val="clear" w:color="auto" w:fill="1F4E79"/>
          </w:tcPr>
          <w:p w:rsidR="00D30B36" w:rsidRDefault="00D917EC">
            <w:r>
              <w:rPr>
                <w:rFonts w:ascii="Calibri" w:eastAsia="Calibri" w:hAnsi="Calibri"/>
                <w:b/>
                <w:color w:val="FFFFFF"/>
                <w:sz w:val="18"/>
              </w:rPr>
              <w:t>Decision</w:t>
            </w:r>
          </w:p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DQ-01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 xml:space="preserve">What is the canonical registration step model for 3.0 </w:t>
            </w:r>
            <w:r>
              <w:rPr>
                <w:rFonts w:ascii="Calibri" w:eastAsia="Calibri" w:hAnsi="Calibri"/>
                <w:sz w:val="18"/>
              </w:rPr>
              <w:t>(citizen + SRO)?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Retain K2 steps / simplify / redesign; publish as-is vs to-be diagram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DQ-02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When does a document become “presented” legally in the online flow?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On application submit / on payment / on appointment check-in / on SR admission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DQ-03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Appointment rules: capacity, cut-offs, holidays, multi-slot, private residence (s.31)?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Define calendar master + exception workflow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DQ-04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Payment ↔ Appointment ↔ Status: single state machine or separate modules?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Must fix DOC-PP-01/02 desync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DQ-05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Who ca</w:t>
            </w:r>
            <w:r>
              <w:rPr>
                <w:rFonts w:ascii="Calibri" w:eastAsia="Calibri" w:hAnsi="Calibri"/>
                <w:sz w:val="18"/>
              </w:rPr>
              <w:t>n send-back / refuse / withdraw at which step; mandatory reason codes (s.71)?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Role matrix + reason master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DQ-06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Summary &amp; Endorsement: system-of-record fields; no silent overwrite of photo/thumb/party data?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Addresses DOC-PP-05/06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DQ-07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Check &amp; Register</w:t>
            </w:r>
            <w:r>
              <w:rPr>
                <w:rFonts w:ascii="Calibri" w:eastAsia="Calibri" w:hAnsi="Calibri"/>
                <w:sz w:val="18"/>
              </w:rPr>
              <w:t xml:space="preserve"> enablement rules — what blockers are valid vs defects?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Explicit checklist vs hidden flags (DOC-PP-05)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DQ-08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Digital sign: bind to active SR post (UM); retry / already-signed handling?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Depends on 24-Aug UM; DOC-PP-07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DQ-09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Status visibility: one status</w:t>
            </w:r>
            <w:r>
              <w:rPr>
                <w:rFonts w:ascii="Calibri" w:eastAsia="Calibri" w:hAnsi="Calibri"/>
                <w:sz w:val="18"/>
              </w:rPr>
              <w:t xml:space="preserve"> API for citizen, SRO, Sakala, dashboard?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Addresses DOC-PP-10/11/12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DQ-10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Document number generation timing relative to endorsement &amp; digital sign?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Confirm statutory order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DQ-11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Reschedule / withdraw after appointment — fee forfeiture / rebooking polic</w:t>
            </w:r>
            <w:r>
              <w:rPr>
                <w:rFonts w:ascii="Calibri" w:eastAsia="Calibri" w:hAnsi="Calibri"/>
                <w:sz w:val="18"/>
              </w:rPr>
              <w:t>y?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DOC-PP-08</w:t>
            </w:r>
          </w:p>
        </w:tc>
        <w:tc>
          <w:tcPr>
            <w:tcW w:w="2520" w:type="dxa"/>
          </w:tcPr>
          <w:p w:rsidR="00D30B36" w:rsidRDefault="00D30B36"/>
        </w:tc>
      </w:tr>
      <w:tr w:rsidR="00D30B36"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DQ-12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Which Registration Act Karnataka amendments + notifications are in-force for e-registration BRD citations?</w:t>
            </w:r>
          </w:p>
        </w:tc>
        <w:tc>
          <w:tcPr>
            <w:tcW w:w="2520" w:type="dxa"/>
          </w:tcPr>
          <w:p w:rsidR="00D30B36" w:rsidRDefault="00D917EC">
            <w:r>
              <w:rPr>
                <w:rFonts w:ascii="Calibri" w:eastAsia="Calibri" w:hAnsi="Calibri"/>
                <w:sz w:val="18"/>
              </w:rPr>
              <w:t>List annexure from Acts_Rules/Document</w:t>
            </w:r>
          </w:p>
        </w:tc>
        <w:tc>
          <w:tcPr>
            <w:tcW w:w="2520" w:type="dxa"/>
          </w:tcPr>
          <w:p w:rsidR="00D30B36" w:rsidRDefault="00D30B36"/>
        </w:tc>
      </w:tr>
    </w:tbl>
    <w:p w:rsidR="00D30B36" w:rsidRDefault="00D30B36"/>
    <w:p w:rsidR="00D30B36" w:rsidRDefault="00D30B36" w:rsidP="00D917EC">
      <w:pPr>
        <w:pStyle w:val="Heading1"/>
      </w:pPr>
      <w:bookmarkStart w:id="0" w:name="_GoBack"/>
      <w:bookmarkEnd w:id="0"/>
    </w:p>
    <w:sectPr w:rsidR="00D30B36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768B5"/>
    <w:rsid w:val="00CB0664"/>
    <w:rsid w:val="00D30B36"/>
    <w:rsid w:val="00D917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0A2835"/>
  <w14:defaultImageDpi w14:val="300"/>
  <w15:docId w15:val="{85DC6AB4-21E3-440C-9936-15A8F882B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09AAEC-66BC-4104-9703-88B532DC4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1134</Words>
  <Characters>6466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3</cp:revision>
  <dcterms:created xsi:type="dcterms:W3CDTF">2026-08-25T09:25:00Z</dcterms:created>
  <dcterms:modified xsi:type="dcterms:W3CDTF">2026-08-25T09:29:00Z</dcterms:modified>
  <cp:category/>
</cp:coreProperties>
</file>