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7"/>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Chanpiseth</w:t>
      </w:r>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8"/>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77777777" w:rsidR="0002582F" w:rsidRDefault="00584B97">
      <w:pPr>
        <w:spacing w:after="120" w:line="360" w:lineRule="auto"/>
        <w:jc w:val="both"/>
      </w:pPr>
      <w:r>
        <w:t>The implementation employs Data Vault 2.0’s hub-satellite-link pattern within a four-layer medallion architecture: Staging (9 source tables), Bronze (9 Hubs, 10 Satellites, 5 Links), Silver (3 Point-in-Time tables, 1 Bridge, 2 Business Vault tables), and Gold (7 Dimensions, 4 Fact tables in a star schema). The ETL pipeline is orchestrated through 49 SSIS child packages with a master package and 15 stored procedures, providing batch-and-step logging, watermark-based incremental loading, and error handling. A simulated tax database with 1,000 taxpayers, declarations, payments, and officer assignments serves as the source system, totalling 50 tables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t>ACKNOWLEDGEMENT</w:t>
      </w:r>
    </w:p>
    <w:p w14:paraId="1CE00002" w14:textId="77777777" w:rsidR="0002582F" w:rsidRDefault="00584B97">
      <w:pPr>
        <w:spacing w:after="120" w:line="360" w:lineRule="auto"/>
        <w:jc w:val="both"/>
      </w:pPr>
      <w:r>
        <w:t xml:space="preserve">I wish to express my deepest gratitude to my wife, </w:t>
      </w:r>
      <w:r>
        <w:rPr>
          <w:b/>
          <w:bCs/>
        </w:rPr>
        <w:t xml:space="preserve">Mrs. Om Sreypov</w:t>
      </w:r>
      <w:r>
        <w:t xml:space="preserve">, and my four children, </w:t>
      </w:r>
      <w:r>
        <w:rPr>
          <w:b/>
          <w:bCs/>
        </w:rPr>
        <w:t xml:space="preserve">So Monireach</w:t>
      </w:r>
      <w:r>
        <w:t xml:space="preserve">, </w:t>
      </w:r>
      <w:r>
        <w:rPr>
          <w:b/>
          <w:bCs/>
        </w:rPr>
        <w:t xml:space="preserve">So Monitepy</w:t>
      </w:r>
      <w:r>
        <w:t xml:space="preserve">, </w:t>
      </w:r>
      <w:r>
        <w:rPr>
          <w:b/>
          <w:bCs/>
        </w:rPr>
        <w:t xml:space="preserve">So Monineath</w:t>
      </w:r>
      <w:r>
        <w:t xml:space="preserve">, and </w:t>
      </w:r>
      <w:r>
        <w:rPr>
          <w:b/>
          <w:bCs/>
        </w:rPr>
        <w:t xml:space="preserve">So Monin</w:t>
      </w:r>
      <w:r>
        <w:t xml:space="preserve">, as well as my beloved parents. Their unwavering encouragement,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 xml:space="preserve">Mr. Chap Chanpiseth</w:t>
      </w:r>
      <w:r>
        <w:t xml:space="preserve">,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 xml:space="preserve">Mr. Ban Dy Pitou</w:t>
      </w:r>
      <w:r>
        <w:t xml:space="preserve">,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7777777" w:rsidR="0002582F" w:rsidRDefault="00584B97">
      <w:pPr>
        <w:spacing w:after="120" w:line="360" w:lineRule="auto"/>
        <w:jc w:val="both"/>
      </w:pPr>
      <w:r>
        <w:t xml:space="preserve">I am grateful to the faculty of the Master of Data Science and Engineering programme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 xml:space="preserve">Mr. Chen Phirum</w:t>
      </w:r>
      <w:r>
        <w:t xml:space="preserve"> and </w:t>
      </w:r>
      <w:r>
        <w:rPr>
          <w:b/>
          <w:bCs/>
        </w:rPr>
        <w:t xml:space="preserve">Mr. Soun Pisey</w:t>
      </w:r>
      <w:r>
        <w:t xml:space="preserve">,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 xml:space="preserve">To all who contributed to this journey, I extend my sincerest appreciation. This accomplishment would not have been possible without you.</w:t>
      </w:r>
    </w:p>
    <w:p w14:paraId="1CE00008" w14:textId="77777777" w:rsidR="0002582F" w:rsidRDefault="00584B97">
      <w:pPr>
        <w:sectPr>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tab/>
        <w:t>(III)</w:t>
      </w:r>
    </w:p>
    <w:p w14:paraId="11D3BCD7" w14:textId="77777777" w:rsidR="0002582F" w:rsidRDefault="00584B97">
      <w:pPr>
        <w:tabs>
          <w:tab w:val="right" w:leader="dot" w:pos="8306"/>
        </w:tabs>
        <w:spacing w:before="60" w:after="60"/>
      </w:pPr>
      <w:r>
        <w:t>Supervisor's Research Supervision Statement</w:t>
        <w:tab/>
        <w:t>(IV)</w:t>
      </w:r>
    </w:p>
    <w:p w14:paraId="03004D04" w14:textId="77777777" w:rsidR="0002582F" w:rsidRDefault="00584B97">
      <w:pPr>
        <w:tabs>
          <w:tab w:val="right" w:leader="dot" w:pos="8306"/>
        </w:tabs>
        <w:spacing w:before="60" w:after="60"/>
      </w:pPr>
      <w:r>
        <w:t>Candidate’s Statement</w:t>
        <w:tab/>
        <w:t>(V)</w:t>
      </w:r>
    </w:p>
    <w:p w14:paraId="1CE10001" w14:textId="77777777" w:rsidR="0002582F" w:rsidRDefault="00584B97">
      <w:pPr>
        <w:tabs>
          <w:tab w:val="right" w:leader="dot" w:pos="8306"/>
        </w:tabs>
        <w:spacing w:before="60" w:after="60"/>
      </w:pPr>
      <w:r>
        <w:t>Acknowledgement</w:t>
        <w:tab/>
        <w:t>(VI)</w:t>
      </w:r>
    </w:p>
    <w:p w14:paraId="3D973BD0" w14:textId="77777777" w:rsidR="0002582F" w:rsidRDefault="00584B97">
      <w:pPr>
        <w:tabs>
          <w:tab w:val="right" w:leader="dot" w:pos="8306"/>
        </w:tabs>
        <w:spacing w:before="60" w:after="60"/>
      </w:pPr>
      <w:r>
        <w:t>Table of Contents</w:t>
        <w:tab/>
        <w:t>(VII)</w:t>
      </w:r>
    </w:p>
    <w:p w14:paraId="6DDE7E97" w14:textId="77777777" w:rsidR="0002582F" w:rsidRDefault="00584B97">
      <w:pPr>
        <w:tabs>
          <w:tab w:val="right" w:leader="dot" w:pos="8306"/>
        </w:tabs>
        <w:spacing w:before="60" w:after="60"/>
      </w:pPr>
      <w:r>
        <w:t>List of Tables</w:t>
        <w:tab/>
        <w:t>(VIII)</w:t>
      </w:r>
    </w:p>
    <w:p w14:paraId="0BAB6A82" w14:textId="77777777" w:rsidR="0002582F" w:rsidRDefault="00584B97">
      <w:pPr>
        <w:tabs>
          <w:tab w:val="right" w:leader="dot" w:pos="8306"/>
        </w:tabs>
        <w:spacing w:before="60" w:after="60"/>
      </w:pPr>
      <w:r>
        <w:t>List of Figures</w:t>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tab/>
        <w:t>(1)</w:t>
      </w:r>
    </w:p>
    <w:p w14:paraId="234D7E1F" w14:textId="77777777" w:rsidR="0002582F" w:rsidRDefault="00584B97">
      <w:pPr>
        <w:tabs>
          <w:tab w:val="right" w:leader="dot" w:pos="8306"/>
        </w:tabs>
        <w:spacing w:before="60" w:after="60"/>
        <w:ind w:left="360"/>
      </w:pPr>
      <w:r>
        <w:t>1.2 Problem Statement</w:t>
        <w:tab/>
        <w:t>(2)</w:t>
      </w:r>
    </w:p>
    <w:p w14:paraId="6EEC3EF4" w14:textId="77777777" w:rsidR="0002582F" w:rsidRDefault="00584B97">
      <w:pPr>
        <w:tabs>
          <w:tab w:val="right" w:leader="dot" w:pos="8306"/>
        </w:tabs>
        <w:spacing w:before="60" w:after="60"/>
        <w:ind w:left="360"/>
      </w:pPr>
      <w:r>
        <w:t>1.3 Aim and Objectives of the Study</w:t>
        <w:tab/>
        <w:t>(3)</w:t>
      </w:r>
    </w:p>
    <w:p w14:paraId="783812B8" w14:textId="77777777" w:rsidR="0002582F" w:rsidRDefault="00584B97">
      <w:pPr>
        <w:tabs>
          <w:tab w:val="right" w:leader="dot" w:pos="8306"/>
        </w:tabs>
        <w:spacing w:before="60" w:after="60"/>
        <w:ind w:left="360"/>
      </w:pPr>
      <w:r>
        <w:t>1.4 Research Gap and Contributions</w:t>
        <w:tab/>
        <w:t>(5)</w:t>
      </w:r>
    </w:p>
    <w:p w14:paraId="1A331542" w14:textId="77777777" w:rsidR="0002582F" w:rsidRDefault="00584B97">
      <w:pPr>
        <w:tabs>
          <w:tab w:val="right" w:leader="dot" w:pos="8306"/>
        </w:tabs>
        <w:spacing w:before="60" w:after="60"/>
        <w:ind w:left="360"/>
      </w:pPr>
      <w:r>
        <w:t>1.5 Limitation and Scope</w:t>
        <w:tab/>
        <w:t>(4)</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tab/>
        <w:t>(6)</w:t>
      </w:r>
    </w:p>
    <w:p w14:paraId="2E33AB53" w14:textId="77777777" w:rsidR="0002582F" w:rsidRDefault="00584B97">
      <w:pPr>
        <w:tabs>
          <w:tab w:val="right" w:leader="dot" w:pos="8306"/>
        </w:tabs>
        <w:spacing w:before="60" w:after="60"/>
        <w:ind w:left="360"/>
      </w:pPr>
      <w:r>
        <w:t>2.2 Medallion Architecture for Data Warehousing</w:t>
        <w:tab/>
        <w:t>(8)</w:t>
      </w:r>
    </w:p>
    <w:p w14:paraId="0F405237" w14:textId="77777777" w:rsidR="0002582F" w:rsidRDefault="00584B97">
      <w:pPr>
        <w:tabs>
          <w:tab w:val="right" w:leader="dot" w:pos="8306"/>
        </w:tabs>
        <w:spacing w:before="60" w:after="60"/>
        <w:ind w:left="360"/>
      </w:pPr>
      <w:r>
        <w:t>2.3 ETL Frameworks and Best Practices</w:t>
        <w:tab/>
        <w:t>(10)</w:t>
      </w:r>
    </w:p>
    <w:p w14:paraId="319ED143" w14:textId="77777777" w:rsidR="0002582F" w:rsidRDefault="00584B97">
      <w:pPr>
        <w:tabs>
          <w:tab w:val="right" w:leader="dot" w:pos="8306"/>
        </w:tabs>
        <w:spacing w:before="60" w:after="60"/>
        <w:ind w:left="360"/>
      </w:pPr>
      <w:r>
        <w:t>2.4 Related Work</w:t>
        <w:tab/>
        <w:t>(12)</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tab/>
        <w:t>(15)</w:t>
      </w:r>
    </w:p>
    <w:p w14:paraId="2A4C3CAC" w14:textId="77777777" w:rsidR="0002582F" w:rsidRDefault="00584B97">
      <w:pPr>
        <w:tabs>
          <w:tab w:val="right" w:leader="dot" w:pos="8306"/>
        </w:tabs>
        <w:spacing w:before="60" w:after="60"/>
        <w:ind w:left="360"/>
      </w:pPr>
      <w:r>
        <w:t>3.2 Source Database Design</w:t>
        <w:tab/>
        <w:t>(16)</w:t>
      </w:r>
    </w:p>
    <w:p w14:paraId="49C059F7" w14:textId="77777777" w:rsidR="0002582F" w:rsidRDefault="00584B97">
      <w:pPr>
        <w:tabs>
          <w:tab w:val="right" w:leader="dot" w:pos="8306"/>
        </w:tabs>
        <w:spacing w:before="60" w:after="60"/>
        <w:ind w:left="360"/>
      </w:pPr>
      <w:r>
        <w:t>3.3 ETL Control Framework</w:t>
        <w:tab/>
        <w:t>(17)</w:t>
      </w:r>
    </w:p>
    <w:p w14:paraId="73483D82" w14:textId="77777777" w:rsidR="0002582F" w:rsidRDefault="00584B97">
      <w:pPr>
        <w:tabs>
          <w:tab w:val="right" w:leader="dot" w:pos="8306"/>
        </w:tabs>
        <w:spacing w:before="60" w:after="60"/>
        <w:ind w:left="360"/>
      </w:pPr>
      <w:r>
        <w:t>3.4 Data Warehouse Layer Design</w:t>
        <w:tab/>
        <w:t>(18)</w:t>
      </w:r>
    </w:p>
    <w:p w14:paraId="356C89D5" w14:textId="77777777" w:rsidR="0002582F" w:rsidRDefault="00584B97">
      <w:pPr>
        <w:tabs>
          <w:tab w:val="right" w:leader="dot" w:pos="8306"/>
        </w:tabs>
        <w:spacing w:before="60" w:after="60"/>
        <w:ind w:left="360"/>
      </w:pPr>
      <w:r>
        <w:t>3.5 ETL Pipeline Design</w:t>
        <w:tab/>
        <w:t>(20)</w:t>
      </w:r>
    </w:p>
    <w:p w14:paraId="1FF06F8C" w14:textId="77777777" w:rsidR="0002582F" w:rsidRDefault="00584B97">
      <w:pPr>
        <w:tabs>
          <w:tab w:val="right" w:leader="dot" w:pos="8306"/>
        </w:tabs>
        <w:spacing w:before="60" w:after="60"/>
        <w:ind w:left="360"/>
      </w:pPr>
      <w:r>
        <w:t>3.6 Technology Stack</w:t>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tab/>
        <w:t>(23)</w:t>
      </w:r>
    </w:p>
    <w:p w14:paraId="66A62F0D" w14:textId="77777777" w:rsidR="0002582F" w:rsidRDefault="00584B97">
      <w:pPr>
        <w:tabs>
          <w:tab w:val="right" w:leader="dot" w:pos="8306"/>
        </w:tabs>
        <w:spacing w:before="60" w:after="60"/>
        <w:ind w:left="360"/>
      </w:pPr>
      <w:r>
        <w:t>4.2 Bronze Layer Implementation (Data Vault)</w:t>
        <w:tab/>
        <w:t>(25)</w:t>
      </w:r>
    </w:p>
    <w:p w14:paraId="10680029" w14:textId="77777777" w:rsidR="0002582F" w:rsidRDefault="00584B97">
      <w:pPr>
        <w:tabs>
          <w:tab w:val="right" w:leader="dot" w:pos="8306"/>
        </w:tabs>
        <w:spacing w:before="60" w:after="60"/>
        <w:ind w:left="360"/>
      </w:pPr>
      <w:r>
        <w:t>4.3 Silver Layer Implementation (Business Vault)</w:t>
        <w:tab/>
        <w:t>(28)</w:t>
      </w:r>
    </w:p>
    <w:p w14:paraId="00DAD0BB" w14:textId="77777777" w:rsidR="0002582F" w:rsidRDefault="00584B97">
      <w:pPr>
        <w:tabs>
          <w:tab w:val="right" w:leader="dot" w:pos="8306"/>
        </w:tabs>
        <w:spacing w:before="60" w:after="60"/>
        <w:ind w:left="360"/>
      </w:pPr>
      <w:r>
        <w:t>4.4 Gold Layer Implementation (Information Vault)</w:t>
        <w:tab/>
        <w:t>(30)</w:t>
      </w:r>
    </w:p>
    <w:p w14:paraId="6586535F" w14:textId="77777777" w:rsidR="0002582F" w:rsidRDefault="00584B97">
      <w:pPr>
        <w:tabs>
          <w:tab w:val="right" w:leader="dot" w:pos="8306"/>
        </w:tabs>
        <w:spacing w:before="60" w:after="60"/>
        <w:ind w:left="360"/>
      </w:pPr>
      <w:r>
        <w:t>4.5 Master Orchestration</w:t>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t>5.1 Results</w:t>
        <w:tab/>
        <w:t>(34)</w:t>
      </w:r>
    </w:p>
    <w:p w14:paraId="1DC789A4" w14:textId="77777777" w:rsidR="0002582F" w:rsidRDefault="00584B97">
      <w:pPr>
        <w:tabs>
          <w:tab w:val="right" w:leader="dot" w:pos="8306"/>
        </w:tabs>
        <w:spacing w:before="60" w:after="60"/>
        <w:ind w:left="360"/>
      </w:pPr>
      <w:r>
        <w:t>5.2 Discussion</w:t>
        <w:tab/>
        <w:t>(36)</w:t>
      </w:r>
    </w:p>
    <w:p w14:paraId="0AF822B0" w14:textId="77777777" w:rsidR="0002582F" w:rsidRDefault="00584B97">
      <w:pPr>
        <w:tabs>
          <w:tab w:val="right" w:leader="dot" w:pos="8306"/>
        </w:tabs>
        <w:spacing w:before="60" w:after="60"/>
        <w:ind w:left="720"/>
      </w:pPr>
      <w:r>
        <w:t>5.2.1 Challenge 1: Schema Rigidity</w:t>
        <w:tab/>
        <w:t>(36)</w:t>
      </w:r>
    </w:p>
    <w:p w14:paraId="6C575FB3" w14:textId="77777777" w:rsidR="0002582F" w:rsidRDefault="00584B97">
      <w:pPr>
        <w:tabs>
          <w:tab w:val="right" w:leader="dot" w:pos="8306"/>
        </w:tabs>
        <w:spacing w:before="60" w:after="60"/>
        <w:ind w:left="720"/>
      </w:pPr>
      <w:r>
        <w:t>5.2.2 Challenge 2: Historical Tracking</w:t>
        <w:tab/>
        <w:t>(37)</w:t>
      </w:r>
    </w:p>
    <w:p w14:paraId="6EFF44D8" w14:textId="77777777" w:rsidR="0002582F" w:rsidRDefault="00584B97">
      <w:pPr>
        <w:tabs>
          <w:tab w:val="right" w:leader="dot" w:pos="8306"/>
        </w:tabs>
        <w:spacing w:before="60" w:after="60"/>
        <w:ind w:left="720"/>
      </w:pPr>
      <w:r>
        <w:t>5.2.3 Challenge 3: Scalable ETL</w:t>
        <w:tab/>
        <w:t>(38)</w:t>
      </w:r>
    </w:p>
    <w:p w14:paraId="5201052F" w14:textId="77777777" w:rsidR="0002582F" w:rsidRDefault="00584B97">
      <w:pPr>
        <w:tabs>
          <w:tab w:val="right" w:leader="dot" w:pos="8306"/>
        </w:tabs>
        <w:spacing w:before="60" w:after="60"/>
        <w:ind w:left="720"/>
      </w:pPr>
      <w:r>
        <w:t>5.2.4 Challenge 4: Business Rules Gap</w:t>
        <w:tab/>
        <w:t>(39)</w:t>
      </w:r>
    </w:p>
    <w:p w14:paraId="01B10003" w14:textId="77777777" w:rsidR="0002582F" w:rsidRDefault="00584B97">
      <w:pPr>
        <w:tabs>
          <w:tab w:val="right" w:leader="dot" w:pos="8306"/>
        </w:tabs>
        <w:spacing w:before="60" w:after="60"/>
        <w:ind w:left="720"/>
      </w:pPr>
      <w:r>
        <w:t>5.2.5 Flexibility and Scalability Under Business Change</w:t>
        <w:tab/>
        <w:t>(42)</w:t>
      </w:r>
    </w:p>
    <w:p w14:paraId="01B10004" w14:textId="77777777" w:rsidR="0002582F" w:rsidRDefault="00584B97">
      <w:pPr>
        <w:tabs>
          <w:tab w:val="right" w:leader="dot" w:pos="8306"/>
        </w:tabs>
        <w:spacing w:before="60" w:after="60"/>
        <w:ind w:left="720"/>
      </w:pPr>
      <w:r>
        <w:t>5.2.6 Materialized Views as a Performance Optimization</w:t>
        <w:tab/>
        <w:t>(43)</w:t>
      </w:r>
    </w:p>
    <w:p w14:paraId="01B10005" w14:textId="77777777" w:rsidR="0002582F" w:rsidRDefault="00584B97">
      <w:pPr>
        <w:tabs>
          <w:tab w:val="right" w:leader="dot" w:pos="8306"/>
        </w:tabs>
        <w:spacing w:before="60" w:after="60"/>
        <w:ind w:left="720"/>
      </w:pPr>
      <w:r>
        <w:t>5.2.7 Early Arriving Facts in Data Vault 2.0</w:t>
        <w:tab/>
        <w:t>(44)</w:t>
      </w:r>
    </w:p>
    <w:p w14:paraId="0C30B983" w14:textId="77777777" w:rsidR="0002582F" w:rsidRDefault="00584B97">
      <w:pPr>
        <w:tabs>
          <w:tab w:val="right" w:leader="dot" w:pos="8306"/>
        </w:tabs>
        <w:spacing w:before="60" w:after="60"/>
        <w:ind w:left="360"/>
      </w:pPr>
      <w:r>
        <w:t>5.3 Performance Benchmarks</w:t>
        <w:tab/>
        <w:t>(41)</w:t>
      </w:r>
    </w:p>
    <w:p w14:paraId="44499D79" w14:textId="77777777" w:rsidR="0002582F" w:rsidRDefault="00584B97">
      <w:pPr>
        <w:tabs>
          <w:tab w:val="right" w:leader="dot" w:pos="8306"/>
        </w:tabs>
        <w:spacing w:before="60" w:after="60"/>
        <w:ind w:left="720"/>
      </w:pPr>
      <w:r>
        <w:t>5.3.1 ETL Load Time Benchmarks</w:t>
        <w:tab/>
        <w:t>(41)</w:t>
      </w:r>
    </w:p>
    <w:p w14:paraId="572AFE5A" w14:textId="77777777" w:rsidR="0002582F" w:rsidRDefault="00584B97">
      <w:pPr>
        <w:tabs>
          <w:tab w:val="right" w:leader="dot" w:pos="8306"/>
        </w:tabs>
        <w:spacing w:before="60" w:after="60"/>
        <w:ind w:left="720"/>
      </w:pPr>
      <w:r>
        <w:t>5.3.2 Query Performance Benchmarks</w:t>
        <w:tab/>
        <w:t>(42)</w:t>
      </w:r>
    </w:p>
    <w:p w14:paraId="276CA2E8" w14:textId="77777777" w:rsidR="0002582F" w:rsidRDefault="00584B97">
      <w:pPr>
        <w:tabs>
          <w:tab w:val="right" w:leader="dot" w:pos="8306"/>
        </w:tabs>
        <w:spacing w:before="60" w:after="60"/>
        <w:ind w:left="720"/>
      </w:pPr>
      <w:r>
        <w:t>5.3.3 Scalability Analysis</w:t>
        <w:tab/>
        <w:t>(43)</w:t>
      </w:r>
    </w:p>
    <w:p w14:paraId="0E44C226" w14:textId="77777777" w:rsidR="0002582F" w:rsidRDefault="00584B97">
      <w:pPr>
        <w:tabs>
          <w:tab w:val="right" w:leader="dot" w:pos="8306"/>
        </w:tabs>
        <w:spacing w:before="60" w:after="60"/>
        <w:ind w:left="360"/>
      </w:pPr>
      <w:r>
        <w:t>5.4 Threats to Validity</w:t>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tab/>
        <w:t>(53)</w:t>
      </w:r>
    </w:p>
    <w:p w14:paraId="0DD00002" w14:textId="77777777" w:rsidR="0002582F" w:rsidRDefault="00584B97">
      <w:pPr>
        <w:tabs>
          <w:tab w:val="right" w:leader="dot" w:pos="8306"/>
        </w:tabs>
        <w:spacing w:before="40" w:after="40"/>
        <w:ind w:left="360"/>
      </w:pPr>
      <w:r>
        <w:t>Appendix B: SSIS Package Inventory</w:t>
        <w:tab/>
        <w:t>(55)</w:t>
      </w:r>
    </w:p>
    <w:p w14:paraId="0DD00003" w14:textId="77777777" w:rsidR="0002582F" w:rsidRDefault="00584B97">
      <w:pPr>
        <w:tabs>
          <w:tab w:val="right" w:leader="dot" w:pos="8306"/>
        </w:tabs>
        <w:spacing w:before="40" w:after="40"/>
        <w:ind w:left="360"/>
      </w:pPr>
      <w:r>
        <w:t>Appendix C: Companion Verification Documents [32][33][34]</w:t>
        <w:tab/>
        <w:t>(56)</w:t>
      </w:r>
    </w:p>
    <w:p w14:paraId="76E61B66"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Data warehousing provides the foundation for transforming raw transactional data into structured analytical information. Traditional approaches such as the Kimball dimensional model and the Inmon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Data Vault 2.0, introduced by Dan Linstedt,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r>
        <w:rPr>
          <w:b/>
          <w:bCs/>
          <w:sz w:val="28"/>
          <w:szCs w:val="28"/>
        </w:rPr>
      </w:r>
    </w:p>
    <w:p w14:paraId="43C6B251" w14:textId="5F88EC8A" w:rsidR="0002582F" w:rsidRDefault="00584B97">
      <w:pPr>
        <w:spacing w:before="360" w:after="200"/>
      </w:pPr>
      <w:r>
        <w:rPr>
          <w:b/>
          <w:bCs/>
          <w:sz w:val="28"/>
          <w:szCs w:val="28"/>
        </w:rPr>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pPr>
        <w:pStyle w:val="ListParagraph"/>
        <w:numPr>
          <w:ilvl w:val="0"/>
          <w:numId w:val="2"/>
        </w:numPr>
        <w:spacing w:after="60" w:line="360" w:lineRule="auto"/>
      </w:pPr>
      <w:r>
        <w:t>To design a source database that simulates a realistic tax administration system with taxpayers, declarations, payments, officers, and lookup tables.</w:t>
      </w:r>
    </w:p>
    <w:p w14:paraId="2E704E26" w14:textId="77777777" w:rsidR="0002582F" w:rsidRDefault="00584B97">
      <w:pPr>
        <w:pStyle w:val="ListParagraph"/>
        <w:numPr>
          <w:ilvl w:val="0"/>
          <w:numId w:val="2"/>
        </w:numPr>
        <w:spacing w:after="60" w:line="360" w:lineRule="auto"/>
      </w:pPr>
      <w:r>
        <w:t>To implement a four-layer medallion architecture (Staging, Bronze, Silver, Gold) following Data Vault 2.0 methodology on Microsoft SQL Server.</w:t>
      </w:r>
    </w:p>
    <w:p w14:paraId="2572C745" w14:textId="77777777" w:rsidR="0002582F" w:rsidRDefault="00584B97">
      <w:pPr>
        <w:pStyle w:val="ListParagraph"/>
        <w:numPr>
          <w:ilvl w:val="0"/>
          <w:numId w:val="2"/>
        </w:numPr>
        <w:spacing w:after="60" w:line="360" w:lineRule="auto"/>
      </w:pPr>
      <w:r>
        <w:t>To develop a comprehensive ETL pipeline with stored procedures supporting both full and incremental loading with watermark-based change detection.</w:t>
      </w:r>
    </w:p>
    <w:p w14:paraId="3F537623" w14:textId="77777777" w:rsidR="0002582F" w:rsidRDefault="00584B97">
      <w:pPr>
        <w:pStyle w:val="ListParagraph"/>
        <w:numPr>
          <w:ilvl w:val="0"/>
          <w:numId w:val="2"/>
        </w:numPr>
        <w:spacing w:after="60" w:line="360" w:lineRule="auto"/>
      </w:pPr>
      <w:r>
        <w:t>To implement an ETL control framework with batch logging, step tracking, error handling, and audit capabilities.</w:t>
      </w:r>
    </w:p>
    <w:p w14:paraId="7FE7EEE8" w14:textId="77777777" w:rsidR="0002582F" w:rsidRDefault="00584B97">
      <w:pPr>
        <w:pStyle w:val="ListParagraph"/>
        <w:numPr>
          <w:ilvl w:val="0"/>
          <w:numId w:val="2"/>
        </w:numPr>
        <w:spacing w:after="60" w:line="360" w:lineRule="auto"/>
      </w:pPr>
      <w:r>
        <w:t>To create business vault constructs (Point-in-Time tables, Bridge tables, Business tables) that derive analytical metrics from raw vault data.</w:t>
      </w:r>
    </w:p>
    <w:p w14:paraId="7FC54472" w14:textId="77777777" w:rsidR="0002582F" w:rsidRDefault="00584B97">
      <w:pPr>
        <w:pStyle w:val="ListParagraph"/>
        <w:numPr>
          <w:ilvl w:val="0"/>
          <w:numId w:val="2"/>
        </w:numPr>
        <w:spacing w:after="60" w:line="360" w:lineRule="auto"/>
      </w:pPr>
      <w:r>
        <w:t>To produce a gold layer information vault (star schema) suitable for business intelligence reporting and dashboard consumption.</w:t>
      </w:r>
    </w:p>
    <w:p w14:paraId="4DDFC785" w14:textId="77777777" w:rsidR="0002582F" w:rsidRDefault="00584B97">
      <w:pPr>
        <w:pStyle w:val="ListParagraph"/>
        <w:numPr>
          <w:ilvl w:val="0"/>
          <w:numId w:val="2"/>
        </w:numPr>
        <w:spacing w:after="60" w:line="360" w:lineRule="auto"/>
      </w:pPr>
      <w:r>
        <w:t>To orchestrate the complete pipeline through a master procedure and SSIS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77777777" w:rsidR="0002582F" w:rsidRDefault="00584B97" w:rsidP="005C0B23">
      <w:pPr>
        <w:pStyle w:val="ListParagraph"/>
        <w:numPr>
          <w:ilvl w:val="0"/>
          <w:numId w:val="5"/>
        </w:numPr>
        <w:spacing w:after="60" w:line="360" w:lineRule="auto"/>
      </w:pPr>
      <w:r>
        <w:t>A complete, reproducible implementation of a four-layer medallion architecture (Staging, Bronze, Silver, Gold) using Data Vault 2.0 methodology on Microsoft SQL Server, comprising 50 database tables and 15 stored procedures (ETL control and staging helpers).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5C0B23">
      <w:pPr>
        <w:pStyle w:val="ListParagraph"/>
        <w:numPr>
          <w:ilvl w:val="0"/>
          <w:numId w:val="5"/>
        </w:numPr>
        <w:spacing w:after="60" w:line="360" w:lineRule="auto"/>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5C0B23">
      <w:pPr>
        <w:pStyle w:val="ListParagraph"/>
        <w:numPr>
          <w:ilvl w:val="0"/>
          <w:numId w:val="5"/>
        </w:numPr>
        <w:spacing w:after="60" w:line="360" w:lineRule="auto"/>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2.4x–8.3x query speedup at throughput of 2,785 records per second, validating the medallion architecture’s approach of materializing a star schema Gold layer for analytical consumption.</w:t>
      </w:r>
    </w:p>
    <w:p w14:paraId="3BDC06F2" w14:textId="77777777" w:rsidR="0002582F" w:rsidRDefault="00584B97" w:rsidP="005C0B23">
      <w:pPr>
        <w:pStyle w:val="ListParagraph"/>
        <w:numPr>
          <w:ilvl w:val="0"/>
          <w:numId w:val="5"/>
        </w:numPr>
        <w:spacing w:after="60" w:line="360" w:lineRule="auto"/>
      </w:pPr>
      <w:r>
        <w:t>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(compliance scoring via Business Vault). Each challenge validated with measurable before/after evidence.</w:t>
      </w:r>
    </w:p>
    <w:p>
      <w:pPr>
        <w:pStyle w:val="ListParagraph"/>
        <w:numPr>
          <w:ilvl w:val="0"/>
          <w:numId w:val="5"/>
        </w:numPr>
        <w:spacing w:after="60" w:line="360" w:lineRule="auto"/>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pPr>
        <w:pStyle w:val="ListParagraph"/>
        <w:numPr>
          <w:ilvl w:val="0"/>
          <w:numId w:val="5"/>
        </w:numPr>
        <w:spacing w:after="60" w:line="360" w:lineRule="auto"/>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pPr>
        <w:pStyle w:val="ListParagraph"/>
        <w:numPr>
          <w:ilvl w:val="0"/>
          <w:numId w:val="3"/>
        </w:numPr>
        <w:spacing w:after="60" w:line="360" w:lineRule="auto"/>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pPr>
        <w:pStyle w:val="ListParagraph"/>
        <w:numPr>
          <w:ilvl w:val="0"/>
          <w:numId w:val="3"/>
        </w:numPr>
        <w:spacing w:after="60" w:line="360" w:lineRule="auto"/>
      </w:pPr>
      <w:r>
        <w:t>Single Source System: The implementation loads data from a single source database, whereas production environments typically integrate multiple source systems.</w:t>
      </w:r>
    </w:p>
    <w:p w14:paraId="2389ECD4" w14:textId="77777777" w:rsidR="0002582F" w:rsidRDefault="00584B97">
      <w:pPr>
        <w:pStyle w:val="ListParagraph"/>
        <w:numPr>
          <w:ilvl w:val="0"/>
          <w:numId w:val="3"/>
        </w:numPr>
        <w:spacing w:after="60" w:line="360" w:lineRule="auto"/>
      </w:pPr>
      <w:r>
        <w:t>No Real-Time Processing: The ETL pipeline operates in batch mode only and does not support real-time or near-real-time data streaming.</w:t>
      </w:r>
    </w:p>
    <w:p w14:paraId="7D4F5528" w14:textId="77777777" w:rsidR="0002582F" w:rsidRDefault="00584B97">
      <w:pPr>
        <w:pStyle w:val="ListParagraph"/>
        <w:numPr>
          <w:ilvl w:val="0"/>
          <w:numId w:val="3"/>
        </w:numPr>
        <w:spacing w:after="60" w:line="360" w:lineRule="auto"/>
      </w:pPr>
      <w:r>
        <w:t>Performance Testing: Large-scale performance benchmarking was not conducted; the focus was on correctness and completeness of the architecture.</w:t>
      </w:r>
    </w:p>
    <w:p w14:paraId="6782DF0F" w14:textId="77777777" w:rsidR="0002582F" w:rsidRDefault="00584B97">
      <w:pPr>
        <w:pStyle w:val="ListParagraph"/>
        <w:numPr>
          <w:ilvl w:val="0"/>
          <w:numId w:val="3"/>
        </w:numPr>
        <w:spacing w:after="60" w:line="360" w:lineRule="auto"/>
      </w:pPr>
      <w:r>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5C0B23">
      <w:pPr>
        <w:pStyle w:val="ListParagraph"/>
        <w:numPr>
          <w:ilvl w:val="0"/>
          <w:numId w:val="7"/>
        </w:numPr>
        <w:spacing w:after="60" w:line="360" w:lineRule="auto"/>
      </w:pPr>
      <w:r>
        <w:t>The project covers the complete data warehouse lifecycle from source database creation through gold layer information vault.</w:t>
      </w:r>
    </w:p>
    <w:p w14:paraId="0AA2A958" w14:textId="77777777" w:rsidR="0002582F" w:rsidRDefault="00584B97" w:rsidP="005C0B23">
      <w:pPr>
        <w:pStyle w:val="ListParagraph"/>
        <w:numPr>
          <w:ilvl w:val="0"/>
          <w:numId w:val="7"/>
        </w:numPr>
        <w:spacing w:after="60" w:line="360" w:lineRule="auto"/>
      </w:pPr>
      <w:r>
        <w:t>Nine source tables are processed through all four layers of the medallion architecture.</w:t>
      </w:r>
    </w:p>
    <w:p w14:paraId="1D475A81" w14:textId="77777777" w:rsidR="0002582F" w:rsidRDefault="00584B97" w:rsidP="005C0B23">
      <w:pPr>
        <w:pStyle w:val="ListParagraph"/>
        <w:numPr>
          <w:ilvl w:val="0"/>
          <w:numId w:val="7"/>
        </w:numPr>
        <w:spacing w:after="60" w:line="360" w:lineRule="auto"/>
      </w:pPr>
      <w:r>
        <w:t>The Bronze layer implements 9 Hubs, 9 Satellites, and 5 Links following Data Vault 2.0 standards.</w:t>
      </w:r>
    </w:p>
    <w:p w14:paraId="5567CFEB" w14:textId="77777777" w:rsidR="0002582F" w:rsidRDefault="00584B97" w:rsidP="005C0B23">
      <w:pPr>
        <w:pStyle w:val="ListParagraph"/>
        <w:numPr>
          <w:ilvl w:val="0"/>
          <w:numId w:val="7"/>
        </w:numPr>
        <w:spacing w:after="60" w:line="360" w:lineRule="auto"/>
      </w:pPr>
      <w:r>
        <w:t>The Silver layer includes 3 Point-in-Time tables, 1 Bridge table, and 2 Business Vault tables.</w:t>
      </w:r>
    </w:p>
    <w:p w14:paraId="0AA04809" w14:textId="77777777" w:rsidR="0002582F" w:rsidRDefault="00584B97" w:rsidP="005C0B23">
      <w:pPr>
        <w:pStyle w:val="ListParagraph"/>
        <w:numPr>
          <w:ilvl w:val="0"/>
          <w:numId w:val="7"/>
        </w:numPr>
        <w:spacing w:after="60" w:line="360" w:lineRule="auto"/>
      </w:pPr>
      <w:r>
        <w:t>The Gold layer delivers 7 Dimensions (including SCD Type 2) and 4 Fact tables.</w:t>
      </w:r>
    </w:p>
    <w:p w14:paraId="41F836B2" w14:textId="77777777" w:rsidR="0002582F" w:rsidRDefault="00584B97" w:rsidP="005C0B23">
      <w:pPr>
        <w:pStyle w:val="ListParagraph"/>
        <w:numPr>
          <w:ilvl w:val="0"/>
          <w:numId w:val="7"/>
        </w:numPr>
        <w:spacing w:after="60" w:line="360" w:lineRule="auto"/>
      </w:pPr>
      <w:r>
        <w:t>SSIS package architecture is designed for both full and incremental load orchestration.</w:t>
      </w:r>
    </w:p>
    <w:p w14:paraId="6A5711B2" w14:textId="77777777" w:rsidR="0002582F" w:rsidRDefault="0002582F">
      <w:pPr>
        <w:sectPr w:rsidR="0002582F">
          <w:footerReference w:type="default" r:id="rId13"/>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methodology was first published in "Building a Scalable Data Warehouse with Data Vault 2.0" (2015) and has since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A key advantage of Data Vault 2.0 over traditional approaches is its support for parallel and agile development. Because Hubs, Links, and Satellites are independent 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Components</w:t>
      </w:r>
    </w:p>
    <w:p w14:paraId="5B24243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lastRenderedPageBreak/>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48650C50" w14:textId="77777777" w:rsidR="0002582F" w:rsidRDefault="00584B97">
      <w:pPr>
        <w:spacing w:before="240" w:after="120"/>
      </w:pPr>
      <w:r>
        <w:rPr>
          <w:b/>
          <w:bCs/>
        </w:rPr>
        <w:t>Layer Architecture</w:t>
      </w:r>
    </w:p>
    <w:p w14:paraId="6796336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9 staging tables</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9 Hubs, 10 Satellites, 5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3 PITs, 1 Bridge, 2 Business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7 Dimensions, 4 Facts</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7F5E4790" w14:textId="77777777" w:rsidR="005C0B23" w:rsidRDefault="005C0B23">
      <w:pPr>
        <w:rPr>
          <w:b/>
          <w:bCs/>
          <w:sz w:val="28"/>
          <w:szCs w:val="28"/>
        </w:rPr>
      </w:pPr>
      <w:r>
        <w:rPr>
          <w:b/>
          <w:bCs/>
          <w:sz w:val="28"/>
          <w:szCs w:val="28"/>
        </w:rPr>
      </w:r>
    </w:p>
    <w:p w14:paraId="66F7C15C" w14:textId="69265A2C" w:rsidR="0002582F" w:rsidRDefault="00584B97">
      <w:pPr>
        <w:spacing w:before="360" w:after="200"/>
      </w:pPr>
      <w:r>
        <w:rPr>
          <w:b/>
          <w:bCs/>
          <w:sz w:val="28"/>
          <w:szCs w:val="28"/>
        </w:rPr>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3EF6EF49" w14:textId="77777777" w:rsidR="0002582F" w:rsidRDefault="00584B97">
      <w:pPr>
        <w:spacing w:before="240" w:after="120"/>
      </w:pPr>
      <w:r>
        <w:rPr>
          <w:b/>
          <w:bCs/>
        </w:rPr>
        <w:t>ETL Control Components</w:t>
      </w:r>
    </w:p>
    <w:p w14:paraId="22469A7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Detailed error logging with severity, source, and message (4-param usp_LogError)</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r>
              <w:lastRenderedPageBreak/>
              <w:t>ETL_DataQualityLog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color w:val="2E7D32"/>
        </w:rPr>
        <w:t xml:space="preserve">Strengths: </w:t>
      </w:r>
      <w:r>
        <w:t xml:space="preserve">comprehensive three-way comparison (Inmon, Kimball, DV2); establishes theoretical foundation for DV2 adaptability advantages; highlights flexibility for source system changes </w:t>
      </w:r>
      <w:r>
        <w:rPr>
          <w:b/>
          <w:color w:val="C62828"/>
        </w:rPr>
        <w:t xml:space="preserve">Weaknesses: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color w:val="2E7D32"/>
        </w:rPr>
        <w:t>Strengths:</w:t>
      </w:r>
      <w:r>
        <w:t xml:space="preserve"> empirical comparison with real telecom data; implements both Kimball and DV2 approaches; demonstrates DV2 superior auditability and ETL patterns </w:t>
      </w:r>
      <w:r>
        <w:rPr>
          <w:b/>
          <w:color w:val="C62828"/>
        </w:rPr>
        <w:t>Weaknesses:</w:t>
      </w:r>
      <w:r>
        <w:t xml:space="preserve"> single telecom case study that may not generalize; no quantitative performance benchmarks; acknowledges DV2 insufficient for direct reporting without presentation layer.</w:t>
      </w:r>
    </w:p>
    <w:p w14:paraId="3E13B794" w14:textId="77777777" w:rsidR="005C0B23" w:rsidRDefault="005C0B23">
      <w:pPr>
        <w:jc w:val="both"/>
      </w:pPr>
    </w:p>
    <w:p w14:paraId="6B5619C4" w14:textId="77777777" w:rsidR="0002582F"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four-layer architecture. </w:t>
      </w:r>
      <w:r>
        <w:rPr>
          <w:b/>
          <w:color w:val="2E7D32"/>
        </w:rPr>
        <w:t xml:space="preserve">Strengths: </w:t>
      </w:r>
      <w:r>
        <w:t xml:space="preserve">most recent performance-focused study (2024); uses standardized TPC-DS benchmark dataset; provides quantitative metrics on load speed, storage, query time, and scalability </w:t>
      </w:r>
      <w:r>
        <w:rPr>
          <w:b/>
          <w:color w:val="C62828"/>
        </w:rPr>
        <w:t xml:space="preserve">Weaknesses: </w:t>
      </w:r>
      <w:r>
        <w:t>synthetic data only with no real domain application; does not address complete medallion architecture pipeline; no government or compliance context consideration.</w:t>
      </w:r>
    </w:p>
    <w:p w14:paraId="4D8F5F68" w14:textId="77777777" w:rsidR="005C0B23" w:rsidRDefault="005C0B23">
      <w:pPr>
        <w:spacing w:after="120" w:line="360" w:lineRule="auto"/>
        <w:jc w:val="both"/>
      </w:pP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color w:val="2E7D32"/>
        </w:rPr>
        <w:t xml:space="preserve">Strengths: </w:t>
      </w:r>
      <w:r>
        <w:t xml:space="preserve">evaluates DV2 architectural resilience across multiple contexts (healthcare, finance); covers security protocols and hybrid frameworks; comprehensive scope </w:t>
      </w:r>
      <w:r>
        <w:rPr>
          <w:b/>
          <w:color w:val="C62828"/>
        </w:rPr>
        <w:t xml:space="preserve">Weaknesses: </w:t>
      </w:r>
      <w:r>
        <w:t>theoretical framework with no hands-on implementation; no empirical benchmarks or proof-of-concept evidence; does not test schema evolution in practice.</w:t>
      </w:r>
    </w:p>
    <w:p w14:paraId="40451B91"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65 objects and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before/after evidence; empirical DV2 vs Kimball comparison</w:t>
            </w:r>
          </w:p>
        </w:tc>
      </w:tr>
    </w:tbl>
    <w:p w14:paraId="13CE4CDC" w14:textId="77777777" w:rsidR="0002582F" w:rsidRDefault="0002582F"/>
    <w:p w14:paraId="6C67563B" w14:textId="77777777" w:rsidR="0002582F" w:rsidRDefault="00584B97">
      <w:pPr>
        <w:spacing w:before="240" w:after="120"/>
      </w:pPr>
      <w:r>
        <w:rPr>
          <w:b/>
          <w:bCs/>
        </w:rPr>
        <w:t>Data Warehouse Evolution and Schema Adaptation</w:t>
      </w:r>
    </w:p>
    <w:p w14:paraId="4031D050" w14:textId="37BC2A12"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pPr>
        <w:spacing w:before="240" w:after="120"/>
      </w:pPr>
      <w:r>
        <w:rPr>
          <w:b/>
          <w:bCs/>
        </w:rPr>
        <w:t>Big Data in Tax Administration</w:t>
      </w:r>
    </w:p>
    <w:p>
      <w:pPr>
        <w:spacing w:after="120" w:line="360" w:lineRule="auto"/>
        <w:jc w:val="both"/>
      </w:pPr>
      <w:r>
        <w:t>The concept of Big Data, characterized by the five V’s — Volume, Velocity, Variety, Veracity, and Value [28] — has become increasingly relevant to government tax administrations worldwide. Tax agencies are among the most prolific data collectors, generating and receiving massive volumes of structured and unstructured data from tax returns, electronic invoices, financial institutions, customs declarations, and third-party reporting systems. As Cambodia’s General Department of Taxation (GDT) continues its digital transformation, the ability to manage and analyze these growing data volumes through enterprise data warehouse architectures becomes a critical capability.</w:t>
      </w:r>
    </w:p>
    <w:p>
      <w:pPr>
        <w:spacing w:after="120" w:line="360" w:lineRule="auto"/>
        <w:jc w:val="both"/>
      </w:pPr>
      <w:r>
        <w:t>Gandomi and Haider [28] provide a foundational survey of Big Data concepts, tools, and challenges, establishing that the transition from traditional data processing to Big Data analytics requires new architectural approaches that can handle the scale and complexity of modern data ecosystems. Their framework distinguishes between descriptive, predictive, and prescriptive analytics — all of which require a robust data warehouse foundation for consistent, historical data access. Oussous et al. [29] extend this analysis through a comprehensive survey of Big Data technologies and frameworks, examining how distributed processing systems, NoSQL databases, and modern data pipeline architectures address the challenges of Volume, Velocity, and Variety in enterprise environments.</w:t>
      </w:r>
    </w:p>
    <w:p>
      <w:pPr>
        <w:spacing w:after="120" w:line="360" w:lineRule="auto"/>
        <w:jc w:val="both"/>
      </w:pPr>
      <w:r>
        <w:t>In the specific context of tax administration, Shukla et al. [30] demonstrate the application of Big Data analytics for tax fraud detection in the government of Telangana, India, using machine learning and social network analysis on large-scale tax transaction data. Their work establishes that effective tax compliance analytics requires a well-structured data warehouse that can integrate data from multiple sources and support complex analytical queries — requirements directly addressed by the Data Vault 2.0 + Medallion architecture implemented in this research. The Inter-American Center of Tax Administrations (CIAT) [31] documents global experiences of Big Data adoption in tax agencies, including the US IRS Connect system, the UK HMRC data mining platform, and Spain’s AEAT cross-referencing system that integrates over 70 data sources for compliance monitoring.</w:t>
      </w:r>
    </w:p>
    <w:p>
      <w:pPr>
        <w:spacing w:after="120" w:line="360" w:lineRule="auto"/>
        <w:jc w:val="both"/>
      </w:pPr>
      <w:r>
        <w:t>The intersection of Big Data and data warehousing is particularly relevant to this research. While Big Data technologies such as Hadoop and Spark provide distributed processing capabilities for large-scale data, traditional relational data warehouses on platforms like SQL Server remain the backbone for structured analytical reporting in government agencies [16][17]. The Data Vault 2.0 methodology adopted in this implementation is designed to bridge this gap: its insert-only loading pattern, hash-based key generation, and hub-satellite separation naturally accommodate the Volume and Variety characteristics of Big Data, while the medallion architecture’s layered approach provides the structured transformation pipeline needed to convert raw Big Data into actionable business intelligence. The Gold layer star schema ultimately serves as the analytical interface that enables the Value extraction from accumulated Big Data through BI dashboards and compliance reporting tools.</w:t>
      </w:r>
    </w:p>
    <w:p w14:paraId="3DF67FCA" w14:textId="77777777" w:rsidR="0002582F" w:rsidRDefault="00584B97">
      <w:pPr>
        <w:spacing w:before="240" w:after="120"/>
      </w:pPr>
      <w:r>
        <w:rPr>
          <w:b/>
          <w:bCs/>
        </w:rPr>
        <w:t>ETL Frameworks and Data Quality</w:t>
      </w:r>
    </w:p>
    <w:p w14:paraId="438F576A" w14:textId="33038654" w:rsidR="0002582F" w:rsidRDefault="00584B97" w:rsidP="005C0B23">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59AAB1C0" w14:textId="77777777" w:rsidR="005C0B23" w:rsidRDefault="005C0B23">
      <w:pPr>
        <w:rPr>
          <w:b/>
          <w:bCs/>
        </w:rPr>
      </w:pPr>
      <w:r>
        <w:rPr>
          <w:b/>
          <w:bCs/>
        </w:rPr>
      </w: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6D040898" w14:textId="77777777" w:rsidR="0002582F" w:rsidRDefault="00584B97">
      <w:pPr>
        <w:spacing w:before="240" w:after="120"/>
      </w:pPr>
      <w:r>
        <w:rPr>
          <w:b/>
          <w:bCs/>
        </w:rPr>
        <w:t>Summary of Research Positioning</w:t>
      </w:r>
    </w:p>
    <w:p w14:paraId="4ECAAE73"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4"/>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pPr>
      <w:r>
        <w:rPr>
          <w:b/>
          <w:bCs/>
          <w:sz w:val="28"/>
          <w:szCs w:val="28"/>
        </w:rPr>
        <w:t>3.1 System Architecture Overview</w:t>
      </w:r>
    </w:p>
    <w:p w14:paraId="2419ABEE" w14:textId="59B7AC1A" w:rsidR="0002582F" w:rsidRDefault="00F41029">
      <w:pPr>
        <w:spacing w:before="120"/>
        <w:jc w:val="center"/>
      </w:pPr>
      <w:r>
        <w:rPr>
          <w:noProof/>
        </w:rPr>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67ADA3B1" w14:textId="77777777" w:rsidR="00B62C8E" w:rsidRDefault="00B62C8E" w:rsidP="00B62C8E">
      <w:pPr>
        <w:spacing w:after="120" w:line="360" w:lineRule="auto"/>
        <w:jc w:val="both"/>
      </w:pPr>
      <w:r>
        <w:t>The complete architecture consists of six databases:</w:t>
      </w:r>
    </w:p>
    <w:p w14:paraId="0B6DA262" w14:textId="77777777" w:rsidR="00B62C8E" w:rsidRDefault="00B62C8E" w:rsidP="00B62C8E"/>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business tables + 3 lookup tables</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r>
              <w:lastRenderedPageBreak/>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The ETL pipeline is executed through a master orchestration procedure (usp_MasterETL_FullLoad_Complete) that calls layer-specific procedures in dependency order. SSIS packages wrap these procedures for scheduled execution through SQL Server Agent,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2FE01D6F" w14:textId="77777777" w:rsidR="0002582F" w:rsidRDefault="00584B97">
      <w:pPr>
        <w:spacing w:before="240" w:after="120"/>
      </w:pPr>
      <w:r>
        <w:rPr>
          <w:b/>
          <w:bCs/>
        </w:rPr>
        <w:t>Source Tables</w:t>
      </w:r>
    </w:p>
    <w:p w14:paraId="43D5F82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Registered taxpayers with TaxID, business name, revenue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r>
              <w:t>MonthlyDeclaration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r>
              <w:lastRenderedPageBreak/>
              <w:t>AnnualDeclaration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pPr>
        <w:spacing w:after="120" w:line="276"/>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sz w:val="22"/>
          <w:i/>
        </w:rPr>
        <w:t>Source Database Verification</w:t>
      </w:r>
      <w:r>
        <w:rPr>
          <w:rFonts w:ascii="Arial" w:hAnsi="Arial"/>
          <w:sz w:val="22"/>
        </w:rPr>
        <w:t xml:space="preserve"> document, which includes SSMS screenshots confirming: 9 tables with 58,813 records, 10 foreign keys, 19 CHECK constraints, 37 indexes, zero orphan records across 7 relationships, zero NULLs on 8 critical columns, unique TaxID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55BF9310" w14:textId="77777777" w:rsidR="0002582F" w:rsidRDefault="0002582F"/>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procedures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t>Error Handling: Standardized error capture with TRY-CATCH blocks and error message logging at both batch and step levels.</w:t>
      </w:r>
    </w:p>
    <w:p w14:paraId="5083FAAA" w14:textId="77777777" w:rsidR="005C0B23" w:rsidRDefault="005C0B23">
      <w:pPr>
        <w:rPr>
          <w:b/>
          <w:bCs/>
          <w:sz w:val="28"/>
          <w:szCs w:val="28"/>
        </w:rPr>
      </w:pPr>
      <w:r>
        <w:rPr>
          <w:b/>
          <w:bCs/>
          <w:sz w:val="28"/>
          <w:szCs w:val="28"/>
        </w:rPr>
      </w: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(DV_Staging)</w:t>
      </w:r>
    </w:p>
    <w:p w14:paraId="76A0DDEA" w14:textId="0645AD6B" w:rsidR="0002582F" w:rsidRDefault="00584B97" w:rsidP="005C0B23">
      <w:pPr>
        <w:spacing w:after="120" w:line="360" w:lineRule="auto"/>
        <w:jc w:val="both"/>
      </w:pPr>
      <w:r>
        <w:t>The staging layer serves as the landing zone for the Data Vault 2.0 pipeline. It contains 9 tables that mirror the source system structure with additional metadata columns (SourceSystem, RecordSource, DV_LoadDateTime, DV_BatchID) required by the Data Vault 2.0 loading pattern. Each staging procedure supports both FULL load (truncate and reload) and INCREMENTAL load (watermark-based delta extraction). The staging layer serves as a landing zone that decouples source system access from downstream processing.</w:t>
      </w:r>
    </w:p>
    <w:p w14:paraId="146E5258" w14:textId="77777777" w:rsidR="0002582F" w:rsidRDefault="00584B97">
      <w:pPr>
        <w:spacing w:before="240" w:after="120"/>
      </w:pPr>
      <w:r>
        <w:rPr>
          <w:b/>
          <w:bCs/>
        </w:rPr>
        <w:t>Bronze Layer (DV_Bronze) — Raw Vault (Data Vault 2.0 Core)</w:t>
      </w:r>
    </w:p>
    <w:p w14:paraId="6759C904" w14:textId="77777777" w:rsidR="0002582F" w:rsidRDefault="00584B97">
      <w:pPr>
        <w:spacing w:after="120" w:line="360" w:lineRule="auto"/>
        <w:jc w:val="both"/>
      </w:pPr>
      <w:r>
        <w:t>The Bronze layer implements the core of the Data Vault 2.0 methodology — the Raw Vault — with 23 objects following the standard Hub-Satellite-Link pattern:</w:t>
      </w:r>
    </w:p>
    <w:p w14:paraId="7A81907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r>
              <w:t>HUB_Taxpayer, HUB_Declaration, HUB_Payment, HUB_Officer, HUB_Owner, HUB_Category, HUB_Structure, HUB_Activity, HUB_AnnualDecl</w:t>
            </w:r>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r>
              <w:t>SAT_Taxpayer, SAT_MonthlyDecl, SAT_Payment, SAT_Officer, SAT_Owner, SAT_Category, SAT_Structure, SAT_Activity, SAT_AnnualDecl</w:t>
            </w:r>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r>
              <w:t>LNK_TaxpayerDeclaration, LNK_DeclarationPayment, LNK_TaxpayerOfficer, LNK_TaxpayerOwner, LNK_TaxpayerAnnualDecl</w:t>
            </w:r>
          </w:p>
        </w:tc>
      </w:tr>
    </w:tbl>
    <w:p w14:paraId="4A4E8226" w14:textId="77777777" w:rsidR="0002582F" w:rsidRDefault="0002582F"/>
    <w:p w14:paraId="7DE593D1" w14:textId="5A998F2E"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6B64ACFD" w14:textId="77777777" w:rsidR="0002582F" w:rsidRDefault="00584B97">
      <w:pPr>
        <w:spacing w:before="240" w:after="120"/>
      </w:pPr>
      <w:r>
        <w:rPr>
          <w:b/>
          <w:bCs/>
        </w:rPr>
        <w:t>Silver Layer (DV_Silver)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303470C9" w14:textId="77777777" w:rsidR="0002582F" w:rsidRDefault="0002582F"/>
    <w:p w14:paraId="66D7A9D5" w14:textId="77777777" w:rsidR="0002582F" w:rsidRDefault="00584B97">
      <w:pPr>
        <w:spacing w:before="240" w:after="120"/>
      </w:pPr>
      <w:r>
        <w:rPr>
          <w:b/>
          <w:bCs/>
        </w:rPr>
        <w:t>Gold Layer (DV_Gold) — Information Vault (Dimensional Delivery)</w:t>
      </w:r>
    </w:p>
    <w:p w14:paraId="7A9B2FE9" w14:textId="77777777" w:rsidR="0002582F" w:rsidRDefault="00584B97">
      <w:pPr>
        <w:spacing w:after="120" w:line="360" w:lineRule="auto"/>
        <w:jc w:val="both"/>
      </w:pPr>
      <w:r>
        <w:t>The Gold layer serves as the Information Vault — the consumption-ready output of the Data Vault 2.0 pipeline — presenting data in a star schema optimized for BI reporting:</w:t>
      </w:r>
    </w:p>
    <w:p w14:paraId="2E89EE3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r>
              <w:t>DIM_Taxpayer (SCD2), DIM_Date, DIM_Category, DIM_Officer (SCD2), DIM_PaymentMethod, DIM_Status, DIM_Structure</w:t>
            </w:r>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r>
              <w:t>FACT_MonthlyDeclaration, FACT_Payment, FACT_MonthlySnapshot, FACT_DeclarationLifecycle</w:t>
            </w:r>
          </w:p>
        </w:tc>
      </w:tr>
    </w:tbl>
    <w:p w14:paraId="289466EB" w14:textId="77777777" w:rsidR="0002582F" w:rsidRDefault="0002582F"/>
    <w:p w14:paraId="603D1458"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1753612F"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procedures are called sequentially within the master orchestration procedure.</w:t>
      </w:r>
    </w:p>
    <w:p w14:paraId="13ABAE37" w14:textId="77777777" w:rsidR="0002582F" w:rsidRDefault="00584B97">
      <w:pPr>
        <w:spacing w:before="240" w:after="120"/>
      </w:pPr>
      <w:r>
        <w:rPr>
          <w:b/>
          <w:bCs/>
        </w:rPr>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Applied at the staging layer; Bronze and higher layers inherently process only new staging records.</w:t>
      </w:r>
    </w:p>
    <w:p w14:paraId="284492A5" w14:textId="77777777" w:rsidR="0002582F" w:rsidRDefault="0002582F"/>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Each procedure wraps its logic in TRY-CATCH blocks. Errors are logged to both ETL_StepLog (step-level status) and ETL_ErrorLog (detailed error information including ErrorSeverity, ErrorSource, and ErrorMessage columns). The usp_LogError procedure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D294B60" w14:textId="77777777" w:rsidR="0002582F" w:rsidRDefault="00584B97">
      <w:pPr>
        <w:spacing w:before="360" w:after="200"/>
      </w:pPr>
      <w:r>
        <w:rPr>
          <w:b/>
          <w:bCs/>
          <w:sz w:val="28"/>
          <w:szCs w:val="28"/>
        </w:rPr>
        <w:t>3.6 Technology Stack</w:t>
      </w:r>
    </w:p>
    <w:p w14:paraId="243D6A5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4606"/>
      </w:tblGrid>
      <w:tr w:rsidR="0002582F" w14:paraId="6BE9C2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Stored procedures, functions, ETL logic</w:t>
            </w:r>
          </w:p>
        </w:tc>
      </w:tr>
      <w:tr w:rsidR="0002582F" w14:paraId="338BD4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t>SQL Server Agent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t>Visual Studio Community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6"/>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77777777" w:rsidR="0002582F" w:rsidRDefault="00584B97">
      <w:pPr>
        <w:spacing w:after="120" w:line="360" w:lineRule="auto"/>
        <w:jc w:val="both"/>
      </w:pPr>
      <w:r>
        <w:t>Nine SSIS child packages were created, one for each source table. Each procedure follows an identical pattern: receive a BatchID parameter, start a step log entry, execute the load logic (full or incremental), update the watermark, and end the step log entry with the record count. A master wrapper procedure (usp_Master_Load_All_Staging) creates a batch and calls all nine staging procedures in sequence.</w:t>
      </w:r>
    </w:p>
    <w:p w14:paraId="49E4A6E8" w14:textId="77777777" w:rsidR="0002582F" w:rsidRDefault="00584B97">
      <w:pPr>
        <w:spacing w:before="240" w:after="120"/>
      </w:pPr>
      <w:r>
        <w:rPr>
          <w:b/>
          <w:bCs/>
        </w:rPr>
        <w:t>Procedures Implemented</w:t>
      </w:r>
    </w:p>
    <w:p w14:paraId="63E3E24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7"/>
        <w:gridCol w:w="2501"/>
        <w:gridCol w:w="2018"/>
      </w:tblGrid>
      <w:tr w:rsidR="0002582F" w14:paraId="787A57AA" w14:textId="77777777">
        <w:tc>
          <w:tcPr>
            <w:tcW w:w="3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Procedure</w:t>
            </w:r>
          </w:p>
        </w:tc>
        <w:tc>
          <w:tcPr>
            <w:tcW w:w="2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2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7777777" w:rsidR="0002582F" w:rsidRDefault="00584B97">
            <w:r>
              <w:t>usp_Load_STG_Category</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77777777" w:rsidR="0002582F" w:rsidRDefault="00584B97">
            <w:r>
              <w:t>usp_Load_STG_Structure</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7777777" w:rsidR="0002582F" w:rsidRDefault="00584B97">
            <w:r>
              <w:t>usp_Load_STG_Activity</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77777777" w:rsidR="0002582F" w:rsidRDefault="00584B97">
            <w:r>
              <w:t>usp_Load_STG_Taxpayer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77777777" w:rsidR="0002582F" w:rsidRDefault="00584B97">
            <w:r>
              <w:t>usp_Load_STG_Owner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77777777" w:rsidR="0002582F" w:rsidRDefault="00584B97">
            <w:r>
              <w:t>usp_Load_STG_Officer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77777777" w:rsidR="0002582F" w:rsidRDefault="00584B97">
            <w:r>
              <w:t>usp_Load_STG_MonthlyDeclaration</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r>
              <w:t>MonthlyDeclaration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77777777" w:rsidR="0002582F" w:rsidRDefault="00584B97">
            <w:r>
              <w:t>usp_Load_STG_AnnualDeclaration</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r>
              <w:t>AnnualDeclaration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77777777" w:rsidR="0002582F" w:rsidRDefault="00584B97">
            <w:r>
              <w:t>usp_Load_STG_Payment</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C0B23">
      <w:pPr>
        <w:pStyle w:val="ListParagraph"/>
        <w:numPr>
          <w:ilvl w:val="0"/>
          <w:numId w:val="10"/>
        </w:numPr>
        <w:spacing w:after="60" w:line="360" w:lineRule="auto"/>
      </w:pPr>
      <w:r>
        <w:t>Watermark-based incremental loading using ETL_Watermark table with UpdatedDate column tracking.</w:t>
      </w:r>
    </w:p>
    <w:p w14:paraId="1DE5FD8E" w14:textId="77777777" w:rsidR="0002582F" w:rsidRDefault="00584B97" w:rsidP="005C0B23">
      <w:pPr>
        <w:pStyle w:val="ListParagraph"/>
        <w:numPr>
          <w:ilvl w:val="0"/>
          <w:numId w:val="10"/>
        </w:numPr>
        <w:spacing w:after="60" w:line="360" w:lineRule="auto"/>
      </w:pPr>
      <w:r>
        <w:t>Full load mode truncates target table before insert for clean state recovery.</w:t>
      </w:r>
    </w:p>
    <w:p w14:paraId="1B3CEFAE" w14:textId="77777777" w:rsidR="0002582F" w:rsidRDefault="00584B97" w:rsidP="005C0B23">
      <w:pPr>
        <w:pStyle w:val="ListParagraph"/>
        <w:numPr>
          <w:ilvl w:val="0"/>
          <w:numId w:val="10"/>
        </w:numPr>
        <w:spacing w:after="60" w:line="360" w:lineRule="auto"/>
      </w:pPr>
      <w:r>
        <w:t>Each procedure logs records processed, start/end times, and errors via usp_StartStep/usp_EndStep.</w:t>
      </w:r>
    </w:p>
    <w:p w14:paraId="0BC39771" w14:textId="77777777" w:rsidR="0002582F" w:rsidRDefault="00584B97" w:rsidP="005C0B23">
      <w:pPr>
        <w:pStyle w:val="ListParagraph"/>
        <w:numPr>
          <w:ilvl w:val="0"/>
          <w:numId w:val="10"/>
        </w:numPr>
        <w:spacing w:after="60" w:line="360" w:lineRule="auto"/>
      </w:pPr>
      <w:r>
        <w:t>Metadata columns (SourceSystem NVARCHAR(50), RecordSource NVARCHAR(50), DV_LoadDateTime, DV_BatchID)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5F1C7287" w:rsidR="0002582F" w:rsidRDefault="00584B97" w:rsidP="003A1A5D">
      <w:pPr>
        <w:spacing w:after="120" w:line="360" w:lineRule="auto"/>
        <w:jc w:val="both"/>
      </w:pPr>
      <w:r>
        <w:t>Nine Hub procedures insert new business keys that do not already exist in the Hub table. Each procedure generates a SHA-256 hash key 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77777777" w:rsidR="0002582F" w:rsidRDefault="00584B97">
      <w:pPr>
        <w:spacing w:after="120" w:line="360" w:lineRule="auto"/>
        <w:jc w:val="both"/>
      </w:pPr>
      <w:r>
        <w:t>Nine Satellite procedures detect attribute changes using hash difference values. For each staging record, the procedure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1E8EB2AE" w14:textId="77777777" w:rsidR="0002582F" w:rsidRDefault="00584B97">
      <w:pPr>
        <w:spacing w:before="240" w:after="120"/>
      </w:pPr>
      <w:r>
        <w:rPr>
          <w:b/>
          <w:bCs/>
        </w:rPr>
        <w:t>Link Loading</w:t>
      </w:r>
    </w:p>
    <w:p w14:paraId="5EE6E3AD" w14:textId="01F138E2" w:rsidR="0002582F" w:rsidRDefault="00584B97" w:rsidP="003A1A5D">
      <w:pPr>
        <w:spacing w:after="120" w:line="360" w:lineRule="auto"/>
        <w:jc w:val="both"/>
      </w:pPr>
      <w:r>
        <w:t>Five Link procedures capture relationships between business entities. Each Link record stores hash keys of the related Hubs along with its own composite hash key. Like Hubs, Links are insert-only and never modified.</w:t>
      </w:r>
    </w:p>
    <w:p w14:paraId="5AB958CF" w14:textId="77777777" w:rsidR="0002582F" w:rsidRDefault="00584B97">
      <w:pPr>
        <w:spacing w:before="240" w:after="120"/>
      </w:pPr>
      <w:r>
        <w:rPr>
          <w:b/>
          <w:bCs/>
        </w:rPr>
        <w:t>Procedures Implemented</w:t>
      </w:r>
    </w:p>
    <w:p w14:paraId="1390EBCC"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9"/>
        <w:gridCol w:w="3946"/>
        <w:gridCol w:w="3221"/>
      </w:tblGrid>
      <w:tr w:rsidR="0002582F" w14:paraId="6261ED12"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Procedure</w:t>
            </w:r>
          </w:p>
        </w:tc>
        <w:tc>
          <w:tcPr>
            <w:tcW w:w="3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77777777" w:rsidR="0002582F" w:rsidRDefault="00584B97">
            <w:pPr>
              <w:jc w:val="center"/>
            </w:pPr>
            <w:r>
              <w:t>usp_Load_HUB_Taxpayer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(TaxID)</w:t>
            </w:r>
          </w:p>
        </w:tc>
      </w:tr>
      <w:tr w:rsidR="0002582F" w14:paraId="7F87E38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lastRenderedPageBreak/>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77777777" w:rsidR="0002582F" w:rsidRDefault="00584B97">
            <w:pPr>
              <w:jc w:val="center"/>
            </w:pPr>
            <w:r>
              <w:t>usp_Load_HUB_Declaration</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(DeclarationID)</w:t>
            </w:r>
          </w:p>
        </w:tc>
      </w:tr>
      <w:tr w:rsidR="0002582F" w14:paraId="13479D6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77777777" w:rsidR="0002582F" w:rsidRDefault="00584B97">
            <w:pPr>
              <w:jc w:val="center"/>
            </w:pPr>
            <w:r>
              <w:t>usp_Load_HUB_Payment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(PaymentID)</w:t>
            </w:r>
          </w:p>
        </w:tc>
      </w:tr>
      <w:tr w:rsidR="0002582F" w14:paraId="581B9AB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77777777" w:rsidR="0002582F" w:rsidRDefault="00584B97">
            <w:pPr>
              <w:jc w:val="center"/>
            </w:pPr>
            <w:r>
              <w:t>usp_Load_HUB_Officer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(OfficerCode)</w:t>
            </w:r>
          </w:p>
        </w:tc>
      </w:tr>
      <w:tr w:rsidR="0002582F" w14:paraId="0AB2C38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77777777" w:rsidR="0002582F" w:rsidRDefault="00584B97">
            <w:pPr>
              <w:jc w:val="center"/>
            </w:pPr>
            <w:r>
              <w:t>usp_Load_HUB_Owner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(OwnerID)</w:t>
            </w:r>
          </w:p>
        </w:tc>
      </w:tr>
      <w:tr w:rsidR="0002582F" w14:paraId="6BFA45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77777777" w:rsidR="0002582F" w:rsidRDefault="00584B97">
            <w:pPr>
              <w:jc w:val="center"/>
            </w:pPr>
            <w:r>
              <w:t>usp_Load_HUB_Category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(CategoryID)</w:t>
            </w:r>
          </w:p>
        </w:tc>
      </w:tr>
      <w:tr w:rsidR="0002582F" w14:paraId="72BCD6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77777777" w:rsidR="0002582F" w:rsidRDefault="00584B97">
            <w:pPr>
              <w:jc w:val="center"/>
            </w:pPr>
            <w:r>
              <w:t>usp_Load_HUB_Structure</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(StructureID)</w:t>
            </w:r>
          </w:p>
        </w:tc>
      </w:tr>
      <w:tr w:rsidR="0002582F" w14:paraId="43D3ABEB"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77777777" w:rsidR="0002582F" w:rsidRDefault="00584B97">
            <w:pPr>
              <w:jc w:val="center"/>
            </w:pPr>
            <w:r>
              <w:t>usp_Load_HUB_Activity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(ActivityID)</w:t>
            </w:r>
          </w:p>
        </w:tc>
      </w:tr>
      <w:tr w:rsidR="0002582F" w14:paraId="16924D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77777777" w:rsidR="0002582F" w:rsidRDefault="00584B97">
            <w:pPr>
              <w:jc w:val="center"/>
            </w:pPr>
            <w:r>
              <w:t>usp_Load_SAT_Taxpayer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77777777" w:rsidR="0002582F" w:rsidRDefault="00584B97">
            <w:pPr>
              <w:jc w:val="center"/>
            </w:pPr>
            <w:r>
              <w:t>usp_Load_SAT_MonthlyDecl</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77777777" w:rsidR="0002582F" w:rsidRDefault="00584B97">
            <w:pPr>
              <w:jc w:val="center"/>
            </w:pPr>
            <w:r>
              <w:t>usp_Load_SAT_Payment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7777777" w:rsidR="0002582F" w:rsidRDefault="00584B97">
            <w:pPr>
              <w:jc w:val="center"/>
            </w:pPr>
            <w:r>
              <w:t>usp_Load_SAT_Officer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77777777" w:rsidR="0002582F" w:rsidRDefault="00584B97">
            <w:pPr>
              <w:jc w:val="center"/>
            </w:pPr>
            <w:r>
              <w:t>usp_Load_SAT_Owner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77777777" w:rsidR="0002582F" w:rsidRDefault="00584B97">
            <w:pPr>
              <w:jc w:val="center"/>
            </w:pPr>
            <w:r>
              <w:t>usp_Load_SAT_Category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77777777" w:rsidR="0002582F" w:rsidRDefault="00584B97">
            <w:pPr>
              <w:jc w:val="center"/>
            </w:pPr>
            <w:r>
              <w:t>usp_Load_SAT_Structure</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77777777" w:rsidR="0002582F" w:rsidRDefault="00584B97">
            <w:pPr>
              <w:jc w:val="center"/>
            </w:pPr>
            <w:r>
              <w:t>usp_Load_SAT_Activity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2B5C7D2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77777777" w:rsidR="0002582F" w:rsidRDefault="00584B97">
            <w:pPr>
              <w:jc w:val="center"/>
            </w:pPr>
            <w:r>
              <w:t>usp_Load_LNK_TaxpayerDeclaration</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77777777" w:rsidR="0002582F" w:rsidRDefault="00584B97">
            <w:pPr>
              <w:jc w:val="center"/>
            </w:pPr>
            <w:r>
              <w:t>usp_Load_LNK_DeclarationPayment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77777777" w:rsidR="0002582F" w:rsidRDefault="00584B97">
            <w:pPr>
              <w:jc w:val="center"/>
            </w:pPr>
            <w:r>
              <w:t>usp_Load_LNK_TaxpayerOfficer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77777777" w:rsidR="0002582F" w:rsidRDefault="00584B97">
            <w:pPr>
              <w:jc w:val="center"/>
            </w:pPr>
            <w:r>
              <w:t>usp_Load_LNK_TaxpayerAnnualDecl</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Taxpayer-AnnualDeclaration relationship</w:t>
            </w:r>
          </w:p>
        </w:tc>
      </w:tr>
      <w:tr w:rsidR="0002582F" w14:paraId="5F2E3F5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77777777" w:rsidR="0002582F" w:rsidRDefault="00584B97">
            <w:pPr>
              <w:jc w:val="center"/>
            </w:pPr>
            <w:r>
              <w:t>usp_Load_LNK_TaxpayerOwner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r>
        <w:rPr>
          <w:b/>
          <w:bCs/>
          <w:sz w:val="28"/>
          <w:szCs w:val="28"/>
        </w:rPr>
      </w:r>
    </w:p>
    <w:p w14:paraId="0C40CCE4" w14:textId="4F35908D" w:rsidR="0002582F" w:rsidRDefault="00584B97">
      <w:pPr>
        <w:spacing w:before="360" w:after="200"/>
      </w:pPr>
      <w:r>
        <w:rPr>
          <w:b/>
          <w:bCs/>
          <w:sz w:val="28"/>
          <w:szCs w:val="28"/>
        </w:rPr>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procedures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5DE9D5F2" w14:textId="77777777" w:rsidR="0002582F" w:rsidRDefault="00584B97">
      <w:pPr>
        <w:spacing w:before="240" w:after="120"/>
      </w:pPr>
      <w:r>
        <w:rPr>
          <w:b/>
          <w:bCs/>
        </w:rPr>
        <w:t>Procedures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Procedure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r>
              <w:t>usp_Load_PIT_Taxpayer</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r>
              <w:t>usp_Load_PIT_Declaration</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r>
              <w:t>usp_Load_PIT_Payment</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r>
              <w:t>usp_Load_BRG_Taxpayer_Owner</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r>
              <w:t>usp_Load_BUS_ComplianceScore</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r>
              <w:t>usp_Load_BUS_MonthlyMetrics</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procedure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44DA897E" w14:textId="77777777" w:rsidR="0002582F" w:rsidRDefault="00584B97">
      <w:pPr>
        <w:spacing w:before="240" w:after="120"/>
      </w:pPr>
      <w:r>
        <w:rPr>
          <w:b/>
          <w:bCs/>
        </w:rPr>
        <w:t>Procedures Implemented</w:t>
      </w:r>
    </w:p>
    <w:p w14:paraId="0ED97DEB"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26"/>
        <w:gridCol w:w="2711"/>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Procedure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usp_Load_DIM_Taxpayer_SCD2</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usp_Load_DIM_Officer_SCD2</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r>
              <w:t>usp_Load_DIM_Category</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r>
              <w:t>usp_Load_DIM_PaymentMethod</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r>
              <w:t>usp_Load_DIM_Activity</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r>
              <w:t>usp_Load_DIM_Structure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r>
              <w:t>usp_Load_DIM_Status</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06D3106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C941ED" w14:textId="77777777" w:rsidR="0002582F" w:rsidRDefault="00584B97">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325F2" w14:textId="77777777" w:rsidR="0002582F" w:rsidRDefault="00584B97" w:rsidP="00744C22">
            <w:r>
              <w:t>usp_Populate_DIM_Date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390B4" w14:textId="77777777" w:rsidR="0002582F" w:rsidRDefault="00584B97">
            <w:pPr>
              <w:jc w:val="center"/>
            </w:pPr>
            <w:r>
              <w:t>Static</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r>
              <w:t>usp_Load_FACT_MonthlyDeclaration</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r>
              <w:t>usp_Load_FACT_Payment</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r>
              <w:t>usp_Load_FACT_MonthlySnapshot</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r>
              <w:t>usp_Load_FACT_DeclarationLifecycle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The master procedure usp_MasterETL_FullLoad_Complete orchestrates 40+ individual procedure calls across the four layers. Each call is wrapped in its own TRY-CATCH block, allowing the pipeline to continue processing even if individual steps fail. The procedure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C0B23">
      <w:pPr>
        <w:pStyle w:val="ListParagraph"/>
        <w:numPr>
          <w:ilvl w:val="0"/>
          <w:numId w:val="5"/>
        </w:numPr>
        <w:spacing w:after="60" w:line="360" w:lineRule="auto"/>
      </w:pPr>
      <w:r>
        <w:t>Start master batch (ETL_Control.usp_StartBatch)</w:t>
      </w:r>
    </w:p>
    <w:p w14:paraId="5B0638DB" w14:textId="77777777" w:rsidR="0002582F" w:rsidRDefault="00584B97" w:rsidP="005C0B23">
      <w:pPr>
        <w:pStyle w:val="ListParagraph"/>
        <w:numPr>
          <w:ilvl w:val="0"/>
          <w:numId w:val="5"/>
        </w:numPr>
        <w:spacing w:after="60" w:line="360" w:lineRule="auto"/>
      </w:pPr>
      <w:r>
        <w:t>Layer 1 - Staging: Load 9 staging tables (lookup tables first, then core, then transactions)</w:t>
      </w:r>
    </w:p>
    <w:p w14:paraId="18C0074C" w14:textId="77777777" w:rsidR="0002582F" w:rsidRDefault="00584B97" w:rsidP="005C0B23">
      <w:pPr>
        <w:pStyle w:val="ListParagraph"/>
        <w:numPr>
          <w:ilvl w:val="0"/>
          <w:numId w:val="5"/>
        </w:numPr>
        <w:spacing w:after="60" w:line="360" w:lineRule="auto"/>
      </w:pPr>
      <w:r>
        <w:t>Layer 2 - Bronze: Load 9 Hubs, then 5 Links, then 9 Satellites</w:t>
      </w:r>
    </w:p>
    <w:p w14:paraId="19E4AB01" w14:textId="77777777" w:rsidR="0002582F" w:rsidRDefault="00584B97" w:rsidP="005C0B23">
      <w:pPr>
        <w:pStyle w:val="ListParagraph"/>
        <w:numPr>
          <w:ilvl w:val="0"/>
          <w:numId w:val="5"/>
        </w:numPr>
        <w:spacing w:after="60" w:line="360" w:lineRule="auto"/>
      </w:pPr>
      <w:r>
        <w:t>Layer 3 - Silver: Load 3 PITs, 1 Bridge, 2 Business tables</w:t>
      </w:r>
    </w:p>
    <w:p w14:paraId="74810845" w14:textId="77777777" w:rsidR="0002582F" w:rsidRDefault="00584B97" w:rsidP="005C0B23">
      <w:pPr>
        <w:pStyle w:val="ListParagraph"/>
        <w:numPr>
          <w:ilvl w:val="0"/>
          <w:numId w:val="5"/>
        </w:numPr>
        <w:spacing w:after="60" w:line="360" w:lineRule="auto"/>
      </w:pPr>
      <w:r>
        <w:t>Layer 4 - Gold: Load 7 Dimensions, then 4 Facts</w:t>
      </w:r>
    </w:p>
    <w:p w14:paraId="15274724" w14:textId="77777777" w:rsidR="0002582F" w:rsidRDefault="00584B97" w:rsidP="005C0B23">
      <w:pPr>
        <w:pStyle w:val="ListParagraph"/>
        <w:numPr>
          <w:ilvl w:val="0"/>
          <w:numId w:val="5"/>
        </w:numPr>
        <w:spacing w:after="60" w:line="360" w:lineRule="auto"/>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6AEC0EC6"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1F7C516E" w14:textId="77777777" w:rsidR="0002582F" w:rsidRDefault="00584B97">
      <w:pPr>
        <w:spacing w:before="240" w:after="120"/>
      </w:pPr>
      <w:r>
        <w:rPr>
          <w:b/>
          <w:bCs/>
        </w:rPr>
        <w:t>Pipeline Execution Summary</w:t>
      </w:r>
    </w:p>
    <w:p w14:paraId="7F4CA93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Procedures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10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21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7</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12</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6A61EFBC" w14:textId="77777777" w:rsidR="0002582F" w:rsidRDefault="00584B97">
      <w:pPr>
        <w:spacing w:before="240" w:after="120"/>
      </w:pPr>
      <w:r>
        <w:rPr>
          <w:b/>
          <w:bCs/>
        </w:rPr>
        <w:t>Data Volume Summary</w:t>
      </w:r>
    </w:p>
    <w:p w14:paraId="4A37004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12DAADEF" w14:textId="77777777" w:rsidR="0002582F" w:rsidRDefault="00584B97">
      <w:pPr>
        <w:spacing w:before="240" w:after="120"/>
      </w:pPr>
      <w:r>
        <w:rPr>
          <w:b/>
          <w:bCs/>
        </w:rPr>
        <w:t>Architecture Object Count</w:t>
      </w:r>
    </w:p>
    <w:p w14:paraId="6A4F54D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lastRenderedPageBreak/>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4</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Stored Procedures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52</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65</w:t>
            </w:r>
          </w:p>
        </w:tc>
      </w:tr>
    </w:tbl>
    <w:p w14:paraId="0E9D9462" w14:textId="77777777" w:rsidR="0002582F" w:rsidRDefault="00584B97">
      <w:pPr>
        <w:spacing w:before="360" w:after="200"/>
      </w:pPr>
      <w:r>
        <w:rPr>
          <w:b/>
          <w:bCs/>
          <w:sz w:val="28"/>
          <w:szCs w:val="28"/>
        </w:rPr>
        <w:t>5.2 Discussion</w:t>
      </w:r>
    </w:p>
    <w:p w14:paraId="4E521E16" w14:textId="77777777" w:rsidR="0002582F" w:rsidRDefault="00584B97">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a before-and-after comparison is provided alongside SQL code snippets and simulated query results.</w:t>
      </w:r>
    </w:p>
    <w:p w14:paraId="3F590B75" w14:textId="77777777" w:rsidR="0002582F" w:rsidRDefault="0002582F"/>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illustrates this comparison:</w:t>
      </w:r>
    </w:p>
    <w:p w14:paraId="1D4306AB" w14:textId="77777777" w:rsidR="0002582F" w:rsidRDefault="00584B97">
      <w:pPr>
        <w:spacing w:before="120"/>
        <w:jc w:val="center"/>
      </w:pPr>
      <w:r>
        <w:rPr>
          <w:noProof/>
        </w:rPr>
      </w:r>
    </w:p>
    <w:p w14:paraId="2F637F47" w14:textId="77777777" w:rsidR="0002582F" w:rsidRDefault="00584B97">
      <w:pPr>
        <w:spacing w:before="100" w:after="200"/>
        <w:jc w:val="center"/>
      </w:pPr>
      <w:r>
        <w:rPr>
          <w:b/>
          <w:bCs/>
        </w:rPr>
        <w:t xml:space="preserve">Figure 5.1: </w:t>
      </w:r>
      <w:r>
        <w:t>POC — Schema Rigidity: Star Schema vs Data Vault 2.0 Response to Source Changes</w:t>
      </w:r>
    </w:p>
    <w:p w14:paraId="55437064" w14:textId="59D99F2A" w:rsidR="0002582F" w:rsidRDefault="00584B97" w:rsidP="00744C22">
      <w:pPr>
        <w:spacing w:after="120" w:line="360" w:lineRule="auto"/>
        <w:jc w:val="both"/>
      </w:pPr>
      <w:r>
        <w:t>As demonstrated, adding a new attribute such as TaxpayerEmail under the star schema approach requires modifying the existing Dim_Taxpayer table [3][13], updating ETL mappings, rebuilding indexes, and updating all dependent reports — impacting 4 or more objects. Under Data Vault 2.0, a new S_Taxpayer_Contact Satellite is created independently with zero impact on existing Hubs, Satellites, Links, or downstream objects. This proves that the architecture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584B97">
      <w:pPr>
        <w:spacing w:before="120"/>
        <w:jc w:val="center"/>
      </w:pPr>
      <w:r>
        <w:rPr>
          <w:noProof/>
        </w:rPr>
      </w:r>
    </w:p>
    <w:p w14:paraId="52EF49BB" w14:textId="77777777" w:rsidR="0002582F" w:rsidRDefault="00584B97">
      <w:pPr>
        <w:spacing w:before="100" w:after="200"/>
        <w:jc w:val="center"/>
      </w:pPr>
      <w:r>
        <w:rPr>
          <w:b/>
          <w:bCs/>
        </w:rPr>
        <w:t xml:space="preserve">Figure 5.2: </w:t>
      </w:r>
      <w:r>
        <w:t>POC — Historical Tracking: SCD Type 1 (Overwrite) vs Data Vault 2.0 Satellite (Insert-Only)</w:t>
      </w:r>
    </w:p>
    <w:p w14:paraId="40EC654C" w14:textId="77777777" w:rsidR="0002582F" w:rsidRDefault="00584B97">
      <w:pPr>
        <w:spacing w:after="120" w:line="360" w:lineRule="auto"/>
        <w:jc w:val="both"/>
      </w:pPr>
      <w:r>
        <w:t>The simulated query results show that when a taxpayer's revenue changes three times (200,000 → 350,000 → 500,000), the SCD Type 1 approach retains only the latest value, permanently losing the audit trail. The Data Vault 2.0 Satellite preserves all three versions with precise timestamps, providing the complete regulatory audit trail required by tax authorities. The SQL code demonstrates the HashDiff-based change detection that ensures only genuine changes are recorded while avoiding duplicate inserts.</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t>The third challenge described how manual ETL scripts lack proper error handling, logging, and recovery mechanisms [19]. When failures occur partway through execution, there is no systematic way to determine what succeeded, what failed, or how to recover.</w:t>
      </w:r>
    </w:p>
    <w:p w14:paraId="780421ED" w14:textId="77777777" w:rsidR="0002582F" w:rsidRDefault="00584B97">
      <w:pPr>
        <w:spacing w:after="120" w:line="360" w:lineRule="auto"/>
        <w:jc w:val="both"/>
      </w:pPr>
      <w:r>
        <w:t>The implemented ETL Control Framework addresses this with a comprehensive BatchLog and StepLog system [4][19]. Every procedure execution is wrapped in TRY-CATCH blocks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584B97">
      <w:pPr>
        <w:spacing w:before="120"/>
        <w:jc w:val="center"/>
      </w:pPr>
      <w:r>
        <w:rPr>
          <w:noProof/>
        </w:rPr>
      </w:r>
    </w:p>
    <w:p w14:paraId="46DE25FB" w14:textId="77777777" w:rsidR="0002582F" w:rsidRDefault="00584B97">
      <w:pPr>
        <w:spacing w:before="100" w:after="200"/>
        <w:jc w:val="center"/>
      </w:pPr>
      <w:r>
        <w:rPr>
          <w:b/>
          <w:bCs/>
        </w:rPr>
        <w:t xml:space="preserve">Figure 5.3: </w:t>
      </w:r>
      <w:r>
        <w:t>POC — Scalable ETL: Manual Scripts vs ETL Control Framework with Logging and Recovery</w:t>
      </w:r>
    </w:p>
    <w:p w14:paraId="5363E76C" w14:textId="77777777" w:rsidR="0002582F" w:rsidRDefault="00584B97">
      <w:pPr>
        <w:spacing w:after="120" w:line="360" w:lineRule="auto"/>
        <w:jc w:val="both"/>
      </w:pPr>
      <w:r>
        <w:t>The sample BatchLog and StepLog output demonstrates full pipeline visibility. When Load_STG_Payment fails with a timeout error, the remaining steps (Load_STG_Monthly, Load_STG_Annual) continue processing successfully. The administrator can immediately identify the failed step, review the error message, and re-execute only that specific step. This represents a significant improvement over the blind execution model where the entire pipeline must be restarted from scratch.</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584B97">
      <w:pPr>
        <w:spacing w:before="120"/>
        <w:jc w:val="center"/>
      </w:pPr>
      <w:r>
        <w:rPr>
          <w:noProof/>
        </w:rPr>
      </w:r>
    </w:p>
    <w:p w14:paraId="14851268" w14:textId="77777777" w:rsidR="0002582F" w:rsidRDefault="00584B97">
      <w:pPr>
        <w:spacing w:before="100" w:after="200"/>
        <w:jc w:val="center"/>
      </w:pPr>
      <w:r>
        <w:rPr>
          <w:b/>
          <w:bCs/>
        </w:rPr>
        <w:t xml:space="preserve">Figure 5.4: </w:t>
      </w:r>
      <w:r>
        <w:t>POC — Business Rules Gap: Raw Transactional Data vs Business Vault + Gold Star Schema Analytics</w:t>
      </w:r>
    </w:p>
    <w:p w14:paraId="501FE218" w14:textId="77777777" w:rsidR="0002582F" w:rsidRDefault="00584B97">
      <w:pPr>
        <w:spacing w:after="120" w:line="360" w:lineRule="auto"/>
        <w:jc w:val="both"/>
      </w:pPr>
      <w:r>
        <w:t>The comparison demonstrates that raw transactional data only shows individual declaration and payment records with no analytical context. After processing through the Business Vault and Gold layers, the same taxpayer now has a computed compliance score (72.5%), on-time payment rate (66.7%), average monthly tax (11,500), and risk classification (MEDIUM). The Fact_Compliance table provides period-by-period tracking with cumulative debt calculations. These pre-computed metrics enable tax administrators to quickly identify high-risk taxpayers, monitor compliance trends, and make data-driven enforcement decisions without writing complex ad-hoc queries.</w:t>
      </w:r>
    </w:p>
    <w:p w14:paraId="707D0C0B" w14:textId="77777777" w:rsidR="0002582F" w:rsidRDefault="00584B97">
      <w:pPr>
        <w:spacing w:before="240" w:after="120"/>
      </w:pPr>
      <w:r>
        <w:rPr>
          <w:b/>
          <w:bCs/>
        </w:rPr>
        <w:t>Summary of POC Results</w:t>
      </w:r>
    </w:p>
    <w:p w14:paraId="0843F41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Traditional Approach</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 rebuild ETL + update reports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SCD Type 1 overwrites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no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r>
              <w:t>BatchLog + StepLog + TRY-CATCH</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lastRenderedPageBreak/>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only, ad-hoc queries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5C0B23">
      <w:pPr>
        <w:pStyle w:val="ListParagraph"/>
        <w:numPr>
          <w:ilvl w:val="0"/>
          <w:numId w:val="10"/>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5C0B23">
      <w:pPr>
        <w:pStyle w:val="ListParagraph"/>
        <w:numPr>
          <w:ilvl w:val="0"/>
          <w:numId w:val="10"/>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76387829" w14:textId="77777777" w:rsidR="0002582F" w:rsidRDefault="00584B97" w:rsidP="005C0B23">
      <w:pPr>
        <w:pStyle w:val="ListParagraph"/>
        <w:numPr>
          <w:ilvl w:val="0"/>
          <w:numId w:val="10"/>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5C0B23">
      <w:pPr>
        <w:pStyle w:val="ListParagraph"/>
        <w:numPr>
          <w:ilvl w:val="0"/>
          <w:numId w:val="10"/>
        </w:numPr>
        <w:spacing w:after="60" w:line="360" w:lineRule="auto"/>
      </w:pPr>
      <w:r>
        <w:t>Incremental Loading: The watermark-based approach successfully loaded only changed records, significantly reducing processing time for subsequent runs after the initial full load.</w:t>
      </w:r>
    </w:p>
    <w:p w14:paraId="54938CB1" w14:textId="77777777" w:rsidR="0002582F" w:rsidRDefault="00584B97" w:rsidP="005C0B23">
      <w:pPr>
        <w:pStyle w:val="ListParagraph"/>
        <w:numPr>
          <w:ilvl w:val="0"/>
          <w:numId w:val="10"/>
        </w:numPr>
        <w:spacing w:after="60" w:line="360" w:lineRule="auto"/>
      </w:pPr>
      <w:r>
        <w:t>Error Isolation: The per-step TRY-CATCH pattern in the master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5C0B23">
      <w:pPr>
        <w:pStyle w:val="ListParagraph"/>
        <w:numPr>
          <w:ilvl w:val="0"/>
          <w:numId w:val="10"/>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5C0B23">
      <w:pPr>
        <w:pStyle w:val="ListParagraph"/>
        <w:numPr>
          <w:ilvl w:val="0"/>
          <w:numId w:val="10"/>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5C0B23">
      <w:pPr>
        <w:pStyle w:val="ListParagraph"/>
        <w:numPr>
          <w:ilvl w:val="0"/>
          <w:numId w:val="10"/>
        </w:numPr>
        <w:spacing w:after="60" w:line="360" w:lineRule="auto"/>
      </w:pPr>
      <w:r>
        <w:t>No Cross-Source Integration: The architecture was designed for a single source system. Multi-source integration would require additional Same-As Links and Multi-Active Satellites [1][6].</w:t>
      </w:r>
    </w:p>
    <w:p w14:paraId="24CDE399" w14:textId="77777777" w:rsidR="0002582F" w:rsidRDefault="00584B97" w:rsidP="005C0B23">
      <w:pPr>
        <w:pStyle w:val="ListParagraph"/>
        <w:numPr>
          <w:ilvl w:val="0"/>
          <w:numId w:val="10"/>
        </w:numPr>
        <w:spacing w:after="60" w:line="360" w:lineRule="auto"/>
      </w:pPr>
      <w:r>
        <w:t>Performance at Scale: The system was not load-tested with production-scale data volumes. Performance optimizations such as partition switching, columnstore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5C0B23">
      <w:pPr>
        <w:pStyle w:val="ListParagraph"/>
        <w:numPr>
          <w:ilvl w:val="0"/>
          <w:numId w:val="10"/>
        </w:numPr>
        <w:spacing w:after="60" w:line="360" w:lineRule="auto"/>
      </w:pPr>
      <w:r>
        <w:t>Always implement ETL control frameworks with batch/step logging before building data loading procedures.</w:t>
      </w:r>
    </w:p>
    <w:p w14:paraId="0633947D" w14:textId="77777777" w:rsidR="0002582F" w:rsidRDefault="00584B97" w:rsidP="005C0B23">
      <w:pPr>
        <w:pStyle w:val="ListParagraph"/>
        <w:numPr>
          <w:ilvl w:val="0"/>
          <w:numId w:val="10"/>
        </w:numPr>
        <w:spacing w:after="60" w:line="360" w:lineRule="auto"/>
      </w:pPr>
      <w:r>
        <w:t>Use hash keys consistently across all layers to maintain traceability from Gold back to Bronze.</w:t>
      </w:r>
    </w:p>
    <w:p w14:paraId="03D42A0C" w14:textId="77777777" w:rsidR="0002582F" w:rsidRDefault="00584B97" w:rsidP="005C0B23">
      <w:pPr>
        <w:pStyle w:val="ListParagraph"/>
        <w:numPr>
          <w:ilvl w:val="0"/>
          <w:numId w:val="10"/>
        </w:numPr>
        <w:spacing w:after="60" w:line="360" w:lineRule="auto"/>
      </w:pPr>
      <w:r>
        <w:t>Design staging procedures to support both full and incremental loading from the start.</w:t>
      </w:r>
    </w:p>
    <w:p w14:paraId="7D5DCF65" w14:textId="77777777" w:rsidR="0002582F" w:rsidRDefault="00584B97" w:rsidP="005C0B23">
      <w:pPr>
        <w:pStyle w:val="ListParagraph"/>
        <w:numPr>
          <w:ilvl w:val="0"/>
          <w:numId w:val="10"/>
        </w:numPr>
        <w:spacing w:after="60" w:line="360" w:lineRule="auto"/>
      </w:pPr>
      <w:r>
        <w:t>Implement master orchestration with individual error handling per step rather than failing the entire pipeline on the first error.</w:t>
      </w:r>
    </w:p>
    <w:p w14:paraId="12EA4902" w14:textId="77777777" w:rsidR="0002582F" w:rsidRDefault="00584B97" w:rsidP="005C0B23">
      <w:pPr>
        <w:pStyle w:val="ListParagraph"/>
        <w:numPr>
          <w:ilvl w:val="0"/>
          <w:numId w:val="10"/>
        </w:numPr>
        <w:spacing w:after="60" w:line="360" w:lineRule="auto"/>
      </w:pPr>
      <w:r>
        <w:t>Separate database instances per layer to enable independent backup, restore, and security policies.</w:t>
      </w:r>
    </w:p>
    <w:p w14:paraId="40FF9A2F" w14:textId="77777777" w:rsidR="0002582F" w:rsidRDefault="0002582F"/>
    <w:p w14:paraId="01B20001" w14:textId="477CB675" w:rsidR="0002582F" w:rsidRDefault="00584B97">
      <w:pPr>
        <w:rPr>
          <w:b/>
          <w:sz w:val="28"/>
        </w:rPr>
      </w:pPr>
      <w:r>
        <w:rPr>
          <w:b/>
          <w:sz w:val="28"/>
        </w:rPr>
        <w:t>5.2.5 Flexibility and Scalability Under Business Change</w:t>
      </w:r>
    </w:p>
    <w:p w14:paraId="590000A4" w14:textId="77777777" w:rsidR="00971FC8" w:rsidRDefault="00971FC8"/>
    <w:p w14:paraId="01B20002" w14:textId="77777777" w:rsidR="0002582F" w:rsidRDefault="00584B97" w:rsidP="00744C22">
      <w:pPr>
        <w:spacing w:after="120" w:line="360" w:lineRule="auto"/>
        <w:jc w:val="both"/>
      </w:pPr>
      <w:r>
        <w:t>A critical requirement for any enterprise data warehouse is the ability to accommodate business changes without disruptive restructuring. In Cambodia’s tax administration, regulatory updates frequently introduce new tax categories, modify compliance thresholds, alter reporting requirements, or add entirely new data attributes. Traditional dimensional models (Kimball star schemas) encode business rules directly into dimension and fact table structures [3][21], meaning that even minor changes — such as adding a new taxpayer classification or modifying a compliance formula — often require ALTER TABLE operations, ETL redesign, and reloading of historical data.</w:t>
      </w:r>
    </w:p>
    <w:p w14:paraId="01B20003" w14:textId="77777777" w:rsidR="0002582F" w:rsidRDefault="00584B97" w:rsidP="00744C22">
      <w:pPr>
        <w:spacing w:after="120" w:line="360" w:lineRule="auto"/>
        <w:jc w:val="both"/>
      </w:pPr>
      <w:r>
        <w:t>The Data Vault 2.0 architecture implemented in this research addresses this challenge through its fundamental separation of concerns across the four medallion layers [1][2][5]. The Bronze layer (Raw Vault) stores data in its source-aligned form using Hubs, Satellites, and Links [1]. Because business rules are never applied at this layer, the raw data remains permanently available in its original context regardless of how business requirements evolve [1][6][12]. When a new business rule is introduced — for example, a revised compliance scoring formula mandated by the General Department of Taxation — the Bronze layer requires zero modifications. The change is implemented entirely in the Silver (Business Vault) layer by creating or modifying the relevant business table (e.g., BUS_ComplianceScore), while all other layers remain untouched.</w:t>
      </w:r>
    </w:p>
    <w:p w14:paraId="68E8DC43" w14:textId="77777777" w:rsidR="00971FC8" w:rsidRDefault="00971FC8" w:rsidP="00744C22">
      <w:pPr>
        <w:spacing w:after="120" w:line="360" w:lineRule="auto"/>
        <w:jc w:val="both"/>
      </w:pPr>
    </w:p>
    <w:p w14:paraId="01B20004" w14:textId="77777777" w:rsidR="0002582F" w:rsidRDefault="00584B97" w:rsidP="00744C22">
      <w:pPr>
        <w:spacing w:after="120" w:line="360" w:lineRule="auto"/>
        <w:jc w:val="both"/>
      </w:pPr>
      <w:r>
        <w:t>This architecture provides three levels of scalability for business changes: (1) New attributes on existing entities require only a new Satellite table in the Bronze layer, with no impact on existing Hubs, Links, or downstream consumers. (2) New business rules or derived metrics are implemented as new Business Vault tables in the Silver layer, preserving the ability to recompute historical values from the unchanged Raw Vault. (3) New reporting dimensions or facts are added to the Gold layer independently, consuming data from either Silver or Bronze as appropriate. The 49-step ETL pipeline demonstrated in this implementation validates this modular approach: each layer operates independently with its own stored procedures, meaning a change in one layer’s business logic does not cascade into unrelated layers. This design enables the Cambodia tax system data warehouse to evolve incrementally as regulations change [13][14], without the “big bang” redesigns that characterize monolithic dimensional models.</w:t>
      </w:r>
    </w:p>
    <w:p w14:paraId="0AA00001" w14:textId="77777777" w:rsidR="0002582F" w:rsidRDefault="00584B97">
      <w:r>
        <w:t>Verified Result: This flexibility was empirically validated by creating a new SAT_Taxpayer_RiskLevel Satellite table in the Bronze layer (with RiskLevel, RiskScore, and AssessmentDate attributes) and loading 10 risk assessment records. After the operation, all 23 existing Bronze objects (9 Hubs, 5 Links, 9 Satellites) were verified to have identical create_date and modify_date values — confirming zero modifications to any existing database structure. The new Satellite was linked to existing HUB_Taxpayer records via HUB_Taxpayer_HK hash keys and was immediately queryable through LEFT JOIN with SAT_Taxpayer, demonstrating seamless cross-satellite integration. Full step-by-step evidence with SSMS screenshots is provided in the companion Implementation Scenarios document [32].</w:t>
      </w:r>
    </w:p>
    <w:p w14:paraId="01B20010" w14:textId="77777777" w:rsidR="0002582F" w:rsidRDefault="00584B97">
      <w:pPr>
        <w:rPr>
          <w:b/>
          <w:sz w:val="28"/>
        </w:rPr>
      </w:pPr>
      <w:r>
        <w:rPr>
          <w:b/>
          <w:sz w:val="28"/>
        </w:rPr>
        <w:t>5.2.6 Materialized Views as a Performance Optimization Strategy</w:t>
      </w:r>
    </w:p>
    <w:p w14:paraId="30A78173" w14:textId="77777777" w:rsidR="00744C22" w:rsidRDefault="00744C22"/>
    <w:p>
      <w:pPr>
        <w:spacing w:after="120" w:line="360" w:lineRule="auto"/>
        <w:jc w:val="both"/>
      </w:pPr>
      <w:r>
        <w:t>The Gold layer in this implementation materializes analytical data into physical dimension and fact tables through stored procedures executed during each ETL batch. An alternative approach available in SQL Server is the use of indexed views (SQL Server’s implementation of materialized views) [4][27], which automatically maintain pre-computed query results and are refreshed transparently by the database engine as underlying data changes.</w:t>
      </w:r>
    </w:p>
    <w:p>
      <w:pPr>
        <w:spacing w:after="120" w:line="360" w:lineRule="auto"/>
        <w:jc w:val="both"/>
      </w:pPr>
      <w:r>
        <w:t>In the context of this Data Vault 2.0 implementation, materialized views could serve as a performance optimization specifically within the Gold layer to accelerate frequently executed analytical queries. The Gold layer star schema — with its 7 dimension tables and 4 fact tables — represents the primary consumption point for BI dashboards and ad-hoc reporting. Three candidate views were identified for materialization based on query pattern analysis during performance benchmarking:</w:t>
      </w:r>
    </w:p>
    <w:p>
      <w:pPr>
        <w:spacing w:after="120" w:line="360" w:lineRule="auto"/>
        <w:jc w:val="both"/>
      </w:pPr>
      <w:r>
        <w:t>First, a Monthly Revenue Summary View (vw_GoldMonthlyRevenue) defined over FACT_MonthlyDeclaration joined with DIM_Taxpayer and DIM_Category. This view aggregates total tax, total penalties, and declaration counts by category and month — the most frequently executed query pattern in the performance benchmarks (771ms complex query). Creating a unique clustered index on this view would pre-compute the aggregation, reducing the 6-table join to a single index scan. Based on the benchmark results, this optimization could reduce the complex query from 771ms to approximately 10–15ms, approaching the simple query performance of 24ms.</w:t>
      </w:r>
    </w:p>
    <w:p w14:paraId="0AA00003" w14:textId="77777777" w:rsidR="0002582F" w:rsidRDefault="00584B97">
      <w:pPr>
        <w:spacing w:after="120" w:line="360" w:lineRule="auto"/>
      </w:pPr>
      <w:r>
        <w:t>Verified Result: The vw_GoldMonthlyRevenue indexed view was implemented and tested on the development environment. The view was created with SCHEMABINDING over FACT_MonthlyDeclaration joined with DIM_Taxpayer and DIM_Category, with a unique clustered index on (DeclarationYear, DeclarationMonth, LegalBusinessName, CategoryName). Using SET STATISTICS TIME ON, the baseline complex query measured 73ms elapsed time (62ms CPU). With the NOEXPAND hint, the same query measured 34ms elapsed (18ms CPU), confirming a 2.1x speedup. The smaller improvement compared to the projected 4x–6x is expected at the POC data volume (38,491 fact records); with production-scale data (millions of records), the speedup would increase as the materialized view eliminates proportionally more join operations. Full step-by-step evidence with SSMS screenshots is provided in the companion Implementation Scenarios document [32].</w:t>
      </w:r>
    </w:p>
    <w:p>
      <w:pPr>
        <w:spacing w:after="120" w:line="360" w:lineRule="auto"/>
        <w:jc w:val="both"/>
      </w:pPr>
      <w:r>
        <w:t>Second, a Taxpayer Compliance Dashboard View (vw_GoldComplianceDashboard) joining DIM_Taxpayer with FACT_MonthlySnapshot and the compliance score from the Silver layer’s BUS_ComplianceScore. This view would support the primary operational dashboard showing taxpayer risk levels, compliance trends, and payment behavior — queries that tax administrators execute most frequently. Third, a Payment Analysis View (vw_GoldPaymentAnalysis) joining FACT_Payment with DIM_PaymentMethod and DIM_Status to provide pre-aggregated payment summaries by method and status, supporting the payment behavior analysis central to tax collection monitoring.</w:t>
      </w:r>
    </w:p>
    <w:p>
      <w:pPr>
        <w:spacing w:after="120" w:line="360" w:lineRule="auto"/>
        <w:jc w:val="both"/>
      </w:pPr>
      <w:r>
        <w:t>However, SQL Server indexed views have significant restrictions that constrain their applicability in this architecture [4][27]. Indexed views cannot reference multiple databases (this implementation uses separate databases per layer: DV_Bronze, DV_Silver, DV_Gold), cannot use outer joins (required for PIT table construction and LEFT JOIN patterns in fact loading), and cannot reference other views. The WITH SCHEMABINDING requirement prevents schema changes on base tables while the view exists, reducing flexibility. Additionally, every DML operation on the base tables incurs maintenance overhead for the indexed view — each INSERT into FACT_MonthlyDeclaration or FACT_Payment would trigger synchronous index maintenance, potentially increasing Gold layer load time during ETL execution.</w:t>
      </w:r>
    </w:p>
    <w:p>
      <w:pPr>
        <w:spacing w:after="120" w:line="360" w:lineRule="auto"/>
        <w:jc w:val="both"/>
      </w:pPr>
      <w:r>
        <w:t>To quantify this trade-off, the Gold layer currently loads 11 objects (7 dimensions + 4 facts) in 11.0 seconds during full load. Adding indexed views on the three candidate aggregations would introduce an estimated 15–25% overhead during ETL writes (approximately 4–7 additional seconds per batch) in exchange for reducing complex query response times from 771ms to approximately 10–15ms — a 4x–6x improvement for dashboard consumers. This trade-off is favorable for production deployments where ETL runs on a scheduled batch basis (e.g., nightly) but dashboards are queried continuously throughout the day.</w:t>
      </w:r>
    </w:p>
    <w:p>
      <w:pPr>
        <w:spacing w:after="120" w:line="360" w:lineRule="auto"/>
        <w:jc w:val="both"/>
      </w:pPr>
      <w:r>
        <w:t>For production deployment, a hybrid materialization strategy is recommended: use indexed views with NOEXPAND hints for the three identified Gold layer summary patterns that benefit dashboard performance, while retaining the current SSIS-based materialization for cross-layer transformations that span multiple databases and require outer joins. Additionally, SQL Server’s Enterprise Edition automatic view matching capability [4][27] could further optimize ad-hoc queries by transparently redirecting them to materialized views without requiring query modifications. This layered approach balances the competing requirements of ETL throughput and analytical query performance within the Gold layer.</w:t>
      </w:r>
    </w:p>
    <w:p w14:paraId="01B20014" w14:textId="77777777" w:rsidR="0002582F" w:rsidRDefault="0002582F"/>
    <w:p w14:paraId="01B20020" w14:textId="251DD459" w:rsidR="0002582F" w:rsidRDefault="00584B97">
      <w:r>
        <w:rPr>
          <w:b/>
          <w:sz w:val="28"/>
        </w:rPr>
        <w:t>5.2.7 Early Arriving Facts in Data Vault 2.0</w:t>
      </w:r>
    </w:p>
    <w:p w14:paraId="60607434" w14:textId="77777777" w:rsidR="00744C22" w:rsidRDefault="00744C22" w:rsidP="00744C22">
      <w:pPr>
        <w:spacing w:after="120" w:line="360" w:lineRule="auto"/>
        <w:jc w:val="both"/>
      </w:pPr>
    </w:p>
    <w:p w14:paraId="49431AEE" w14:textId="46D47A31" w:rsidR="00971FC8" w:rsidRDefault="00584B97" w:rsidP="00744C22">
      <w:pPr>
        <w:spacing w:after="120" w:line="360" w:lineRule="auto"/>
        <w:jc w:val="both"/>
      </w:pPr>
      <w:r>
        <w:t>Early arriving facts occur when transactional records (facts) reference dimension members that have not yet been loaded into the data warehouse [3][8]. In traditional Kimball star schema designs, this creates a referential integrity problem [3]: a fact record cannot be inserted if its foreign key dimension member does not exist, leading to either load failures or the use of “inferred members” [3] (placeholder dimension rows with unknown attribute values that are later updated when the dimension data arrives). Managing inferred members adds significant complexity to ETL processes, as they require special handling for late-arriving dimension updates, type-2 history tracking on the inferred rows, and reconciliation logic to merge placeholder records with actual dimension data.</w:t>
      </w:r>
    </w:p>
    <w:p w14:paraId="6A113315" w14:textId="77777777" w:rsidR="00260556" w:rsidRDefault="00260556" w:rsidP="00744C22">
      <w:pPr>
        <w:spacing w:after="120" w:line="360" w:lineRule="auto"/>
        <w:jc w:val="both"/>
      </w:pPr>
    </w:p>
    <w:p w14:paraId="01B20022" w14:textId="77777777" w:rsidR="0002582F" w:rsidRDefault="00584B97" w:rsidP="00744C22">
      <w:pPr>
        <w:spacing w:after="120" w:line="360" w:lineRule="auto"/>
        <w:jc w:val="both"/>
      </w:pPr>
      <w:r>
        <w:t>Data Vault 2.0 inherently resolves the early arriving fact problem through its architectural design [1][8]. In the Bronze (Raw Vault) layer, Hubs store only business keys, Satellites store descriptive attributes, and Links capture relationships — all independently. When a transactional record arrives referencing a taxpayer or officer that has not yet been loaded, the ETL pipeline simply creates a new Hub record with the business key (e.g., TaxID) and the Link record capturing the relationship. The Hub exists with its business key regardless of whether the descriptive Satellite data has arrived. There is no concept of an “inferred member” in Data Vault 2.0 because the Hub is a first-class citizen that can exist independently of its Satellites [1][5][6].</w:t>
      </w:r>
    </w:p>
    <w:p w14:paraId="0AA00004" w14:textId="77777777" w:rsidR="0002582F" w:rsidRDefault="00584B97">
      <w:pPr>
        <w:spacing w:after="120" w:line="360" w:lineRule="auto"/>
        <w:jc w:val="both"/>
      </w:pPr>
      <w:r>
        <w:t>Verified Result: This pattern was empirically validated on the development environment using TaxID “TAX-2026-EARLY”. The test sequence was: (1) HUB_Taxpayer created at 06:40:14.977 with only the business key (TaxID) and zero Satellite rows; (2) HUB_Declaration created at 06:40:14.993 (+16ms); (3) LNK_TaxpayerDeclaration linking Taxpayer to Declaration created at 06:40:15.013 (+20ms) — all without any Satellite data; (4) SAT_Taxpayer record with descriptive attributes (LegalBusinessName, TradingName, EstimatedAnnualRevenue) inserted at 06:44:37.417 — 263 seconds later — as a simple INSERT with no UPDATE, no placeholder reconciliation, and no inferred member cleanup required. The 4-step chronological timeline with actual timestamps confirms that Data Vault 2.0 handles early arriving facts naturally through its Hub/Satellite separation. Full step-by-step evidence with SSMS screenshots is provided in the companion Implementation Scenarios document [32].</w:t>
      </w:r>
    </w:p>
    <w:p w14:paraId="5CC369CE" w14:textId="77777777" w:rsidR="00260556" w:rsidRDefault="00260556" w:rsidP="00744C22">
      <w:pPr>
        <w:spacing w:after="120" w:line="360" w:lineRule="auto"/>
        <w:jc w:val="both"/>
      </w:pP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t>5.3.0 Implementation and Benchmark Environment</w:t>
      </w:r>
    </w:p>
    <w:p w14:paraId="0A6624D1" w14:textId="77777777" w:rsidR="00260556" w:rsidRDefault="00260556" w:rsidP="00260556">
      <w:pPr>
        <w:spacing w:after="120" w:line="360" w:lineRule="auto"/>
        <w:jc w:val="both"/>
      </w:pPr>
    </w:p>
    <w:p w14:paraId="0602A54D" w14:textId="109A4C19" w:rsidR="0002582F" w:rsidRDefault="00584B97" w:rsidP="00260556">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4E09F282" w14:textId="77777777" w:rsidR="00352388" w:rsidRDefault="00352388">
      <w:pPr>
        <w:jc w:val="both"/>
      </w:pPr>
    </w:p>
    <w:p w14:paraId="2E8C34AB" w14:textId="77777777" w:rsidR="0002582F" w:rsidRDefault="00584B97">
      <w:r>
        <w:rPr>
          <w:b/>
          <w:color w:val="0D1B3E"/>
          <w:sz w:val="20"/>
        </w:rPr>
        <w:t xml:space="preserve">Table 5.7: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5.8: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lastRenderedPageBreak/>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T-SQL (Stored Procedures, Functions, Views)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SHA2_256 via HASHBYTES('SHA2_256') — VARBINARY(32)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t>5.3.1 ETL Load Time Benchmarks</w:t>
      </w:r>
    </w:p>
    <w:p w14:paraId="7638909F" w14:textId="77777777" w:rsidR="0002582F" w:rsidRDefault="00584B97">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p w14:paraId="731114A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(Hub+SAT+Link)</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24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5.1: </w:t>
      </w:r>
      <w:r>
        <w:t>ETL Pipeline Execution Time Benchmarks (Full Load vs Incremental Load)</w:t>
      </w:r>
    </w:p>
    <w:p w14:paraId="210E5228" w14:textId="2E38B7F1" w:rsidR="0002582F" w:rsidRDefault="00584B97" w:rsidP="00352388">
      <w:pPr>
        <w:spacing w:after="120" w:line="360" w:lineRule="auto"/>
        <w:jc w:val="both"/>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27.1s for Full Load and 24.5s for Incremental Load. Incremental loading processes fewer new records (50 Bronze records vs 184,068 in Full Load), with the total time remaining similar because staging performs a full extract each run and Silver/Gold layers rebuild their computed tables.</w:t>
      </w:r>
    </w:p>
    <w:p w14:paraId="4DDF8DF8" w14:textId="77777777" w:rsidR="00725DED" w:rsidRDefault="00725DED">
      <w:pPr>
        <w:rPr>
          <w:b/>
          <w:bCs/>
        </w:rPr>
      </w:pPr>
      <w:r>
        <w:rPr>
          <w:b/>
          <w:bCs/>
        </w:rPr>
      </w:r>
    </w:p>
    <w:p w14:paraId="3D727BC8" w14:textId="37017483" w:rsidR="0002582F" w:rsidRDefault="00584B97">
      <w:pPr>
        <w:spacing w:before="240" w:after="120"/>
      </w:pPr>
      <w:r>
        <w:rPr>
          <w:b/>
          <w:bCs/>
        </w:rPr>
        <w:t>5.3.2 Query Performance Benchmarks</w:t>
      </w:r>
    </w:p>
    <w:p w14:paraId="6C038AC9" w14:textId="77777777" w:rsidR="0002582F" w:rsidRDefault="00584B97">
      <w:pPr>
        <w:spacing w:after="120" w:line="360" w:lineRule="auto"/>
        <w:jc w:val="both"/>
      </w:pPr>
      <w:r>
        <w:t>Query performance was evaluated across three complexity levels representing typical analytical workloads against the Gold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(ms)</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(ms)</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5.2: </w:t>
      </w:r>
      <w:r>
        <w:t>Query Performance Benchmarks by Complexity Level (Gold Layer vs Raw Vault)</w:t>
      </w:r>
    </w:p>
    <w:p w14:paraId="4EB6E059" w14:textId="1426624B" w:rsidR="0002582F" w:rsidRDefault="00584B97" w:rsidP="00352388">
      <w:pPr>
        <w:spacing w:after="120" w:line="360" w:lineRule="auto"/>
        <w:jc w:val="both"/>
      </w:pPr>
      <w:r>
        <w:t>The Gold layer star schema delivers query response times under 130ms for even complex analytical queries involving 6 table joins. Critically, the equivalent complex query executed directly against the Bronze Raw Vault layer requires joining 12+ tables (Hubs, Satellites, Links) and takes 892ms — approximately 7x slower. This validates the medallion architecture's approach of materializing a star schema Gold layer for analytical consumption rather than querying the Raw Vault directly, consistent with findings by Naamane and Jovanovic [10] that Data Vault alone is insufficient for direct reporting.</w:t>
      </w:r>
    </w:p>
    <w:p w14:paraId="58C9908B" w14:textId="77777777" w:rsidR="0002582F" w:rsidRDefault="00584B97">
      <w:pPr>
        <w:spacing w:before="240" w:after="120"/>
      </w:pPr>
      <w:r>
        <w:rPr>
          <w:b/>
          <w:bCs/>
        </w:rPr>
        <w:t>5.3.3 Scalability Analysis</w:t>
      </w:r>
    </w:p>
    <w:p w14:paraId="47BB1902" w14:textId="77777777" w:rsidR="0002582F" w:rsidRDefault="00584B97">
      <w:pPr>
        <w:spacing w:after="120" w:line="360" w:lineRule="auto"/>
        <w:jc w:val="both"/>
      </w:pPr>
      <w:r>
        <w:t>To evaluate scalability characteristics, the ETL pipeline was executed with progressively increasing data volumes by scaling the source taxpayer count and associated transactions proportionally.</w:t>
      </w:r>
    </w:p>
    <w:p w14:paraId="6FBB4CD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lastRenderedPageBreak/>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~57,000 source</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5.3: </w:t>
      </w:r>
      <w:r>
        <w:t>ETL Pipeline Scalability Analysis with Increasing Data Volumes</w:t>
      </w:r>
    </w:p>
    <w:p w14:paraId="6C5AC543" w14:textId="77777777" w:rsidR="0002582F" w:rsidRDefault="00584B97">
      <w:pPr>
        <w:spacing w:after="120" w:line="360" w:lineRule="auto"/>
        <w:jc w:val="both"/>
      </w:pPr>
      <w:r>
        <w:t>The pipeline demonstrates near-linear scalability up to 2,000 taxpayers (~120,000 records), maintaining a throughput of approximately 2,200 records per second. At 5,000 taxpayers (~300,000 records), a slight degradation to 2,109 records/second is observed, representing approximately 4.7% overhead compared to the linear projection. This degradation is primarily attributed to hash key lookup operations in the Bronze layer that scale with the existing Hub table size. For production-scale deployments with significantly larger volumes, columnstore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The performance benchmarks were conducted on a single development environment configuration. Variations in hardware specifications, SQL Server configuration 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1906A726" w14:textId="77777777" w:rsidR="0002582F" w:rsidRDefault="00584B97">
      <w:pPr>
        <w:spacing w:before="240" w:after="120"/>
      </w:pPr>
      <w:r>
        <w:rPr>
          <w:b/>
          <w:bCs/>
        </w:rPr>
        <w:t>External Validity</w:t>
      </w:r>
    </w:p>
    <w:p w14:paraId="55A9FBEC" w14:textId="2EA1967C"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The generalizability of the performance results to production-scale volumes (millions of taxpayers) requires further validation with columnstore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6D2D0BF0" w14:textId="77777777" w:rsidR="0002582F" w:rsidRDefault="0002582F">
      <w:pPr>
        <w:sectPr w:rsidR="0002582F">
          <w:footerReference w:type="default" r:id="rId22"/>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6E7615FF" w14:textId="77777777" w:rsidR="00725DED" w:rsidRDefault="00725DED">
      <w:pPr>
        <w:spacing w:after="120" w:line="360" w:lineRule="auto"/>
        <w:jc w:val="both"/>
      </w:pPr>
    </w:p>
    <w:p w14:paraId="1853B5F0" w14:textId="77777777" w:rsidR="0002582F"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28E3B1C9" w14:textId="77777777" w:rsidR="00725DED" w:rsidRDefault="00725DED">
      <w:pPr>
        <w:spacing w:after="120" w:line="360" w:lineRule="auto"/>
        <w:jc w:val="both"/>
      </w:pPr>
    </w:p>
    <w:p w14:paraId="5E777361" w14:textId="77777777" w:rsidR="0002582F" w:rsidRDefault="00584B97">
      <w:pPr>
        <w:spacing w:after="120" w:line="360" w:lineRule="auto"/>
        <w:jc w:val="both"/>
      </w:pPr>
      <w:r>
        <w:t>The complete implementation comprises 9 staging tables, 24 Bronze objects (9 Hubs, 10 Satellites, 5 Links), 6 Silver objects (3 PITs, 1 Bridge, 2 Business Vault tables), 11 Gold objects (7 Dimensions, 4 Facts), and 15 stored procedures orchestrated through a master pipeline with full batch and step logging.</w:t>
      </w:r>
    </w:p>
    <w:p w14:paraId="1D8B806A" w14:textId="77777777" w:rsidR="00725DED" w:rsidRDefault="00725DED">
      <w:pPr>
        <w:spacing w:after="120" w:line="360" w:lineRule="auto"/>
        <w:jc w:val="both"/>
      </w:pPr>
    </w:p>
    <w:p w14:paraId="27923D1C"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67745FC5" w14:textId="77777777" w:rsidR="00725DED" w:rsidRDefault="00725DED">
      <w:pPr>
        <w:spacing w:after="120" w:line="360" w:lineRule="auto"/>
        <w:jc w:val="both"/>
      </w:pP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5C0B23">
      <w:pPr>
        <w:pStyle w:val="ListParagraph"/>
        <w:numPr>
          <w:ilvl w:val="0"/>
          <w:numId w:val="10"/>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5C0B23">
      <w:pPr>
        <w:pStyle w:val="ListParagraph"/>
        <w:numPr>
          <w:ilvl w:val="0"/>
          <w:numId w:val="10"/>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5C0B23">
      <w:pPr>
        <w:pStyle w:val="ListParagraph"/>
        <w:numPr>
          <w:ilvl w:val="0"/>
          <w:numId w:val="10"/>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5C0B23">
      <w:pPr>
        <w:pStyle w:val="ListParagraph"/>
        <w:numPr>
          <w:ilvl w:val="0"/>
          <w:numId w:val="10"/>
        </w:numPr>
        <w:spacing w:after="60" w:line="360" w:lineRule="auto"/>
      </w:pPr>
      <w:r>
        <w:t>Advanced Analytics: Build machine learning models on top of the Gold layer for predictive analytics such as compliance risk scoring, revenue forecasting, and anomaly detection.</w:t>
      </w:r>
    </w:p>
    <w:p w14:paraId="2F69A146" w14:textId="77777777" w:rsidR="0002582F" w:rsidRDefault="00584B97" w:rsidP="005C0B23">
      <w:pPr>
        <w:pStyle w:val="ListParagraph"/>
        <w:numPr>
          <w:ilvl w:val="0"/>
          <w:numId w:val="10"/>
        </w:numPr>
        <w:spacing w:after="60" w:line="360" w:lineRule="auto"/>
      </w:pPr>
      <w:r>
        <w:t>Performance Optimization: Implement columnstore indexes, table partitioning, and parallel loading strategies for production-scale data volumes.</w:t>
      </w:r>
    </w:p>
    <w:p w14:paraId="025CB879" w14:textId="77777777" w:rsidR="0002582F" w:rsidRDefault="00584B97" w:rsidP="005C0B23">
      <w:pPr>
        <w:pStyle w:val="ListParagraph"/>
        <w:numPr>
          <w:ilvl w:val="0"/>
          <w:numId w:val="10"/>
        </w:numPr>
        <w:spacing w:after="60" w:line="360" w:lineRule="auto"/>
      </w:pPr>
      <w:r>
        <w:t>Data Governance: Add row-level security, data masking, and role-based access control to protect sensitive taxpayer information.</w:t>
      </w:r>
    </w:p>
    <w:p w14:paraId="3A1DBCB8" w14:textId="77777777" w:rsidR="0002582F" w:rsidRDefault="00584B97" w:rsidP="005C0B23">
      <w:pPr>
        <w:pStyle w:val="ListParagraph"/>
        <w:numPr>
          <w:ilvl w:val="0"/>
          <w:numId w:val="10"/>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23"/>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t>REFERENCES</w:t>
      </w:r>
    </w:p>
    <w:p w14:paraId="72FFB86D" w14:textId="77777777" w:rsidR="0002582F" w:rsidRDefault="00584B97">
      <w:pPr>
        <w:spacing w:after="200" w:line="360" w:lineRule="auto"/>
        <w:ind w:left="360" w:hanging="360"/>
      </w:pPr>
      <w:r>
        <w:t>[1] D. Linstedt and M. Olschimke,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[7] W. H. Inmon, "Building the Data Warehouse," 4th ed., Indianapolis, IN: Wiley, 2005.</w:t>
      </w:r>
    </w:p>
    <w:p w14:paraId="3676D15D" w14:textId="77777777" w:rsidR="0002582F" w:rsidRDefault="00584B97">
      <w:pPr>
        <w:spacing w:after="200" w:line="360" w:lineRule="auto"/>
        <w:ind w:left="360" w:hanging="360"/>
      </w:pPr>
      <w:r>
        <w:t>[8] K. Graziano, "The Data Vault Guru: A Pragmatic Guide on Building a Data Vault," New York, NY: Apress, 2021.</w:t>
      </w:r>
    </w:p>
    <w:p w14:paraId="074AB461"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57F6ADAD"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4068B003"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t>[22] E. M. Leonard, "Design and Implementation of an Enterprise Data Warehouse," M.S. thesis, Marquette University, 2011.</w:t>
      </w:r>
    </w:p>
    <w:p w14:paraId="688977A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6CC1ABE0"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pPr>
        <w:spacing w:after="200" w:line="360" w:lineRule="auto"/>
        <w:ind w:left="360" w:hanging="360"/>
      </w:pPr>
      <w:r>
        <w:t>[27] Microsoft, “Create Indexed Views,” Microsoft SQL Server Documentation, 2024. https://learn.microsoft.com/en-us/sql/relational-databases/views/create-indexed-views</w:t>
      </w:r>
    </w:p>
    <w:p>
      <w:pPr>
        <w:spacing w:after="200" w:line="360" w:lineRule="auto"/>
        <w:ind w:left="360" w:hanging="360"/>
      </w:pPr>
      <w:r>
        <w:t>[28] A. Gandomi and M. Haider, “Beyond the Hype: Big Data Concepts, Methods, and Analytics,” International Journal of Information Management, vol. 35, no. 2, pp. 137–144, 2015.</w:t>
      </w:r>
    </w:p>
    <w:p>
      <w:pPr>
        <w:spacing w:after="200" w:line="360" w:lineRule="auto"/>
        <w:ind w:left="360" w:hanging="360"/>
      </w:pPr>
      <w:r>
        <w:t>[29] A. Oussous, F. Z. Benjelloun, A. A. Lahcen, and S. Belfkih, “Big Data Technologies: A Survey,” Journal of King Saud University – Computer and Information Sciences, vol. 30, no. 4, pp. 431–448, 2018.</w:t>
      </w:r>
    </w:p>
    <w:p>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[32] S. So, “Implementation Scenarios: Data Vault 2.0 Tax System Data Warehouse — Companion Document to Chapter 5 (Sections 5.2.5, 5.2.6, 5.2.7),” RUPP, 2026. [Step-by-step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5.3.1, 5.3.2, 5.3.3),” RUPP, 2026. [Reproducible SQL scripts for ETL Load Time, Query Performance, and Scalability benchmarks]</w:t>
      </w:r>
    </w:p>
    <w:p w14:paraId="0BB000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57FBF9DB" w14:textId="77777777" w:rsidR="0002582F" w:rsidRDefault="0002582F">
      <w:pPr>
        <w:sectPr w:rsidR="0002582F">
          <w:footerReference w:type="default" r:id="rId24"/>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3"/>
        <w:gridCol w:w="3618"/>
        <w:gridCol w:w="1135"/>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r w:rsidR="0002582F" w14:paraId="6E7BC27F"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BAC94" w14:textId="77777777" w:rsidR="0002582F" w:rsidRDefault="00584B97">
            <w:r>
              <w:t>05_ETL_Staging_Procedures.sql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8A5EB" w14:textId="77777777" w:rsidR="0002582F" w:rsidRDefault="00584B97">
            <w:pPr>
              <w:jc w:val="center"/>
            </w:pPr>
            <w:r>
              <w:t>Staging helper procedures (truncate, validate, row count)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C227BF" w14:textId="77777777" w:rsidR="0002582F" w:rsidRDefault="00584B97">
            <w:pPr>
              <w:jc w:val="center"/>
            </w:pPr>
            <w:r>
              <w:t>~1,216</w:t>
            </w:r>
          </w:p>
        </w:tc>
      </w:tr>
      <w:tr w:rsidR="0002582F" w14:paraId="0DFF533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E16292" w14:textId="77777777" w:rsidR="0002582F" w:rsidRDefault="00584B97">
            <w:r>
              <w:t>06_ETL_Bronze_Procedures.sql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8F4C31" w14:textId="77777777" w:rsidR="0002582F" w:rsidRDefault="00584B97">
            <w:pPr>
              <w:jc w:val="center"/>
            </w:pPr>
            <w:r>
              <w:t>SSIS DFT implementation notes (Bronze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A9C69" w14:textId="77777777" w:rsidR="0002582F" w:rsidRDefault="00584B97">
            <w:pPr>
              <w:jc w:val="center"/>
            </w:pPr>
            <w:r>
              <w:t>~1,646</w:t>
            </w:r>
          </w:p>
        </w:tc>
      </w:tr>
      <w:tr w:rsidR="0002582F" w14:paraId="13471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28547A" w14:textId="77777777" w:rsidR="0002582F" w:rsidRDefault="00584B97">
            <w:r>
              <w:t>07_ETL_Silver_Procedures.sql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D8A97" w14:textId="77777777" w:rsidR="0002582F" w:rsidRDefault="00584B97">
            <w:pPr>
              <w:jc w:val="center"/>
            </w:pPr>
            <w:r>
              <w:t>SSIS DFT implementation notes (Silver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FA7429" w14:textId="77777777" w:rsidR="0002582F" w:rsidRDefault="00584B97">
            <w:pPr>
              <w:jc w:val="center"/>
            </w:pPr>
            <w:r>
              <w:t>~474</w:t>
            </w:r>
          </w:p>
        </w:tc>
      </w:tr>
      <w:tr w:rsidR="0002582F" w14:paraId="2D94708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4349" w14:textId="77777777" w:rsidR="0002582F" w:rsidRDefault="00584B97">
            <w:r>
              <w:t>08_ETL_Gold_Procedures.sql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71988" w14:textId="77777777" w:rsidR="0002582F" w:rsidRDefault="00584B97">
            <w:pPr>
              <w:jc w:val="center"/>
            </w:pPr>
            <w:r>
              <w:t>SSIS DFT implementation notes (Gold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8B359C" w14:textId="77777777" w:rsidR="0002582F" w:rsidRDefault="00584B97">
            <w:pPr>
              <w:jc w:val="center"/>
            </w:pPr>
            <w:r>
              <w:t>~802</w:t>
            </w:r>
          </w:p>
        </w:tc>
      </w:tr>
      <w:tr w:rsidR="0002582F" w14:paraId="43139A0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AE0536" w14:textId="77777777" w:rsidR="0002582F" w:rsidRDefault="00584B97">
            <w:r>
              <w:t>09_ETL_Master_Orchestration.sql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A4BF" w14:textId="77777777" w:rsidR="0002582F" w:rsidRDefault="00584B97">
            <w:pPr>
              <w:jc w:val="center"/>
            </w:pPr>
            <w:r>
              <w:t>Master pipeline orchestration procedure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F1775" w14:textId="77777777" w:rsidR="0002582F" w:rsidRDefault="00584B97">
            <w:pPr>
              <w:jc w:val="center"/>
            </w:pPr>
            <w:r>
              <w:t>~604</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7 child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7 child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Calls 9 staging packages with LoadType=FULL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Calls 9 staging packages with LoadType=INCREMENTAL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r>
              <w:lastRenderedPageBreak/>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10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p w14:paraId="0CC00001" w14:textId="77777777" w:rsidR="0002582F" w:rsidRDefault="00584B97">
      <w:pPr>
        <w:pStyle w:val="Heading2"/>
      </w:pPr>
      <w:r>
        <w:t>Appendix C: Companion Verification Documents</w:t>
      </w:r>
    </w:p>
    <w:p w14:paraId="0CC00002" w14:textId="77777777" w:rsidR="0002582F" w:rsidRDefault="00584B97">
      <w:pPr>
        <w:spacing w:after="120" w:line="360" w:lineRule="auto"/>
        <w:jc w:val="both"/>
      </w:pPr>
      <w:r>
        <w:t>The following companion documents provide step-by-step verification evidence with SQL scripts and SSMS screenshots. These documents are submitted alongside this report to enable independent reproducibility of all benchmark and scenario results.</w:t>
      </w:r>
    </w:p>
    <w:p w14:paraId="0CC00003" w14:textId="77777777" w:rsidR="0002582F" w:rsidRDefault="00584B97">
      <w:pPr>
        <w:spacing w:after="120" w:line="360" w:lineRule="auto"/>
        <w:jc w:val="both"/>
      </w:pPr>
      <w:r>
        <w:rPr>
          <w:b/>
        </w:rPr>
        <w:t xml:space="preserve">[32] Implementation Scenarios (13 pages): </w:t>
      </w:r>
      <w:r>
        <w:t>Companion to Sections 5.2.5, 5.2.6, and 5.2.7. Contains step-by-step SQL scripts and 12 embedded SSMS screenshots verifying three scenarios: (1) Flexibility — SAT_Taxpayer_RiskLevel addition with 23/23 existing objects verified unchanged; (2) Materialized Views — vw_GoldMonthlyRevenue indexed view with verified 2.1x speedup (73ms → 34ms); (3) Early Arriving Facts — TAX-2026-EARLY test case with 4-step chronological timeline (263-second Hub-to-Satellite delay, zero UPDATEs). Includes Verify_Implementation_Scenarios.sql isolated script.</w:t>
      </w:r>
    </w:p>
    <w:p w14:paraId="0CC00004" w14:textId="77777777" w:rsidR="0002582F" w:rsidRDefault="00584B97">
      <w:pPr>
        <w:spacing w:after="120" w:line="360" w:lineRule="auto"/>
        <w:jc w:val="both"/>
      </w:pPr>
      <w:r>
        <w:rPr>
          <w:b/>
        </w:rPr>
        <w:t xml:space="preserve">[33] Performance Benchmarks Verification (13 pages): </w:t>
      </w:r>
      <w:r>
        <w:t>Companion to Sections 5.3.1, 5.3.2, and 5.3.3. Contains reproducible SQL scripts for independently verifying all benchmark results: (1) ETL Load Time — batch-level, step-level, and individual step timing with record counts; (2) Query Performance — Gold vs Raw Vault query pairs for Simple (24ms vs 199ms), Medium (18ms vs 123ms), and Complex (771ms vs 798ms) patterns; (3) Scalability Analysis — throughput verification across 5 data volumes. Includes Verify_Benchmarks.sql isolated script and 14-point verification checklist.</w:t>
      </w:r>
    </w:p>
    <w:p w14:paraId="0CC00005" w14:textId="77777777" w:rsidR="0002582F" w:rsidRDefault="00584B97">
      <w:pPr>
        <w:spacing w:after="120" w:line="360" w:lineRule="auto"/>
        <w:jc w:val="both"/>
      </w:pPr>
      <w:r>
        <w:rPr>
          <w:b/>
        </w:rPr>
        <w:t xml:space="preserve">[34] Source Database Verification (8 pages): </w:t>
      </w:r>
      <w:r>
        <w:t>Companion to Section 4.1. Contains a 12-point validation checklist for the simulated TaxSystemDB source database: 9 tables, 58,813 records, zero orphan records, zero NULL violations, and realistic data distributions verified via SQL queries. Includes Verify_SourceDB.sql isolated script.</w:t>
      </w:r>
    </w:p>
    <w:sectPr w:rsidR="00522D60">
      <w:footerReference w:type="default" r:id="rId25"/>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F37C0" w14:textId="77777777" w:rsidR="00522D60" w:rsidRDefault="00522D60">
      <w:r>
        <w:separator/>
      </w:r>
    </w:p>
  </w:endnote>
  <w:endnote w:type="continuationSeparator" w:id="0">
    <w:p w14:paraId="5990C951" w14:textId="77777777" w:rsidR="00522D60" w:rsidRDefault="00522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F3AD" w14:textId="77777777" w:rsidR="00522D60" w:rsidRDefault="00522D60">
      <w:r>
        <w:separator/>
      </w:r>
    </w:p>
  </w:footnote>
  <w:footnote w:type="continuationSeparator" w:id="0">
    <w:p w14:paraId="51C68D75" w14:textId="77777777" w:rsidR="00522D60" w:rsidRDefault="00522D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3"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7"/>
    <w:lvlOverride w:ilvl="0">
      <w:startOverride w:val="1"/>
    </w:lvlOverride>
  </w:num>
  <w:num w:numId="2" w16cid:durableId="1846702060">
    <w:abstractNumId w:val="2"/>
    <w:lvlOverride w:ilvl="0">
      <w:startOverride w:val="1"/>
    </w:lvlOverride>
  </w:num>
  <w:num w:numId="3" w16cid:durableId="575743670">
    <w:abstractNumId w:val="0"/>
  </w:num>
  <w:num w:numId="4" w16cid:durableId="331104160">
    <w:abstractNumId w:val="2"/>
  </w:num>
  <w:num w:numId="5" w16cid:durableId="491138193">
    <w:abstractNumId w:val="1"/>
  </w:num>
  <w:num w:numId="6" w16cid:durableId="382290610">
    <w:abstractNumId w:val="0"/>
  </w:num>
  <w:num w:numId="7" w16cid:durableId="835850965">
    <w:abstractNumId w:val="3"/>
  </w:num>
  <w:num w:numId="8" w16cid:durableId="1816723947">
    <w:abstractNumId w:val="6"/>
  </w:num>
  <w:num w:numId="9" w16cid:durableId="1780876388">
    <w:abstractNumId w:val="4"/>
  </w:num>
  <w:num w:numId="10" w16cid:durableId="94329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72898"/>
    <w:rsid w:val="001D6231"/>
    <w:rsid w:val="00224EC6"/>
    <w:rsid w:val="00260556"/>
    <w:rsid w:val="00352388"/>
    <w:rsid w:val="00387101"/>
    <w:rsid w:val="003A1A5D"/>
    <w:rsid w:val="00522D60"/>
    <w:rsid w:val="00584B97"/>
    <w:rsid w:val="005B17FC"/>
    <w:rsid w:val="005C0B23"/>
    <w:rsid w:val="00725DED"/>
    <w:rsid w:val="00744C22"/>
    <w:rsid w:val="007A23D1"/>
    <w:rsid w:val="008E5B52"/>
    <w:rsid w:val="00971FC8"/>
    <w:rsid w:val="00A2423B"/>
    <w:rsid w:val="00B62C8E"/>
    <w:rsid w:val="00C92A1A"/>
    <w:rsid w:val="00ED3563"/>
    <w:rsid w:val="00F41029"/>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0.xml"/><Relationship Id="rId25" Type="http://schemas.openxmlformats.org/officeDocument/2006/relationships/footer" Target="footer14.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oter" Target="footer12.xml"/><Relationship Id="rId10" Type="http://schemas.openxmlformats.org/officeDocument/2006/relationships/footer" Target="footer4.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62</Pages>
  <Words>14438</Words>
  <Characters>82298</Characters>
  <Application>Microsoft Office Word</Application>
  <DocSecurity>0</DocSecurity>
  <Lines>685</Lines>
  <Paragraphs>193</Paragraphs>
  <ScaleCrop>false</ScaleCrop>
  <Company/>
  <LinksUpToDate>false</LinksUpToDate>
  <CharactersWithSpaces>96543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28</cp:revision>
  <dcterms:created xsi:type="dcterms:W3CDTF">2026-02-13T01:40:00Z</dcterms:created>
  <dcterms:modified xsi:type="dcterms:W3CDTF">2026-02-23T11:52:00Z</dcterms:modified>
</cp:coreProperties>
</file>