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Thesis Defense Preparation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Data Vault 2.0 Implementation for Cambodia Tax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Data Warehouse Using Medallion Architecture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Candidate: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Mr. Sot So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Supervisor: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Mr. Chap Chanpiseth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Master of Engineering in Data Science and Engineering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Royal University of Phnom Penh  •  February 2026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1: Document Review — Remaining Issues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Issues Fixed in Latest Session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38"/>
        <w:gridCol w:w="1200"/>
        <w:gridCol w:w="28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Abstract claimed “empirical comparison against Kimball”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Fixed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Changed to “qualitative comparison”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Conclusion repeated “empirical comparison against Kimball-only implementation”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Fixed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Changed to “qualitative architectural comparison”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P507 said “empirical comparisons”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Fixed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Changed to “architectural comparisons”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Acknowledgement: children not mentioned, Ban Dy Pitou wrong title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Fixed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children added; title corrected to Director of Dept. of ICT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Abstract and Acknowledgement exceeded one page each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Fixed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Trimmed to fit exactly one page each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Known Issues (Low Risk for Defense)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00"/>
        <w:gridCol w:w="5738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Answer if Asked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TOC Section 1.4/1.5 page numbers reversed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7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"Formatting issue in TOC that will be corrected in the final submission."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Contributions #3 and #4 overlap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7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"These represent distinct aspects—ETL throughput vs query performance—but descriptions could be more clearly differentiated."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DIM_Date referenced but not implemented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57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"Date dimension was planned but all Fact tables use actual date columns. DIM_Date would be added in production for calendar intelligence."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4.1 implies SPs handle staging (actually SSIS DFTs)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7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"Staging data movement is handled by SSIS Data Flow Tasks. The SPs are helpers for truncation, row counting, and validation."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FullLoad SP prints “INCREMENTAL LOAD COMPLETED”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7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"Cosmetic logging message—the ETL logic correctly distinguishes between full and incremental paths."</w:t>
            </w:r>
          </w:p>
        </w:tc>
      </w:tr>
    </w:tbl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2: Potential Defense Questions and Answers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Category A: Methodology and Design Choices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Q1: Why did you choose Data Vault 2.0 over Kimball or Inmon for Cambodia’s tax system?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Cambodia’s tax system has specific characteristics that favor Data Vault 2.0: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Frequent regulatory changes: Tax laws evolve regularly—DV2’s hub-satellite separation means adding new attributes only requires new satellite tables, not restructuring the entire warehouse.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Audit requirements: Government tax data requires complete historical traceability—DV2 naturally preserves every version of every record with LoadDate and HashDiff.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Multiple source systems: GDT receives data from various registration systems—DV2’s hub-based integration handles multiple sources feeding the same business 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Parallel development: Different teams can work on different satellites/links simultaneously without conflicts.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trade-off is higher ETL complexity, but this is justified for a government context where compliance outweighs raw performance.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Q2: Why medallion architecture? Why not just Data Vault 2.0 alone?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Pure Data Vault is optimized for loading and storage, not for querying. The hub-satellite-link pattern requires many joins (our Raw Vault queries needed 5–7 joins). The medallion architecture adds: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Staging: Clean ingestion point with truncate-and-reload for full loads, watermark-based for incremental.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Bronze (Raw Vault): The core DV2 layer preserving all history.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Silver (Business Vault): PIT tables and Bridge tables pre-compute temporal joins, reducing query complexity.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Gold (Star Schema): Dimensional model for analytical consumption—benchmarks showed 1.03×–8.3× query speedup.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combines DV2’s loading strengths with Kimball’s query strengths.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Q3: Why SQL Server and SSIS instead of modern cloud tools like Spark, dbt, or Snowflake?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was a deliberate choice based on Cambodia’s context: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GDT’s existing infrastructure: SQL Server is already deployed and licensed at GDT.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Skills availability: SQL Server/SSIS skills are more readily available in Cambodia’s IT workforce than cloud-native tools.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Data sovereignty: Government tax data must remain on-premises under Cambodian law.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Cost: No additional cloud subscription costs.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For future work, the medallion architecture pattern is tool-agnostic and could be migrated to cloud platforms.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Q4: How did you handle schema evolution—what happens when a new tax form field is added?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In Data Vault 2.0, adding a new field follows a non-destructive pattern: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New attribute: Add a new column to the existing satellite table, or create a new satellite (e.g., SAT_Taxpayer_RiskLevel)—existing data is untouched.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New business key: Create a new Hub and Link relationship.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New relationship: Create a new Link table.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satellite’s HashDiff mechanism (SHA2_256 over all descriptive columns) automatically detects changes. This was empirically validated by creating SAT_Taxpayer_RiskLevel during the flexibility test.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Q5: Your research is a proof-of-concept with simulated data. How would you validate for production?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simulation was designed to be realistic: 1,000 taxpayers, ~38,000 monthly declarations over 48 months. For production validation: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Parallel run: Load real anonymized tax data alongside the existing system for 3–6 months.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Data reconciliation: Verify Gold layer outputs match existing reports.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Stress testing: Scale to 100K+ taxpayers to validate the scalability findings.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Security audit: Add row-level security and encryption for real tax data.</w:t>
      </w:r>
    </w:p>
    <w:p>
      <w:r>
        <w:br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Category B: Technical Implementation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Q6: Explain your ETL control framework. How does it handle failures?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framework has three levels: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Batch level (ETL_BatchLog): Each full/incremental run gets a BatchID with start time, end time, status, and total record counts.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Step level (ETL_StepLog): Each of the 49 steps is individually logged with TRY-CATCH—if one step fails, the error is captured and subsequent steps continue.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Error level (ETL_ErrorLog): Detailed error messages, severity classification, resolution tracking.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watermark table (ETL_Watermark) tracks the last successfully loaded timestamp per source table, enabling true incremental loads. If a batch fails mid-way, the next run picks up from the last successful watermark.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Q7: How does your hash key generation work? Why SHA2_256?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Every Hub record has a HashKey computed via </w:t>
      </w:r>
      <w:r>
        <w:rPr>
          <w:rFonts w:ascii="Consolas" w:cs="Consolas" w:eastAsia="Consolas" w:hAnsi="Consolas"/>
          <w:sz w:val="18"/>
          <w:szCs w:val="18"/>
        </w:rPr>
        <w:t xml:space="preserve">HASHBYTES('SHA2_256', UPPER(TRIM(BusinessKey)))</w:t>
      </w:r>
      <w:r>
        <w:rPr>
          <w:rFonts w:ascii="Arial" w:cs="Arial" w:eastAsia="Arial" w:hAnsi="Arial"/>
          <w:sz w:val="20"/>
          <w:szCs w:val="20"/>
        </w:rPr>
        <w:t xml:space="preserve">. SHA2_256 was chosen because: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Collision resistance: Virtually zero probability of two different business keys producing the same hash.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Deterministic: Same input always produces same output—critical for incremental loads.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Performance: SQL Server has native HASHBYTES support, no external libraries needed.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Satellites use HashDiff (hash of all descriptive columns) to detect changes—only records where HashDiff differs from the current active record create new satellite rows.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Q8: Explain the difference between your SCD Type 1 and Type 2 dimensions in the Gold layer.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SCD Type 1 </w:t>
      </w:r>
      <w:r>
        <w:rPr>
          <w:rFonts w:ascii="Arial" w:cs="Arial" w:eastAsia="Arial" w:hAnsi="Arial"/>
          <w:sz w:val="20"/>
          <w:szCs w:val="20"/>
        </w:rPr>
        <w:t xml:space="preserve">(5 dimensions: Category, Structure, Activity, PaymentMethod, Status): These reference data changes infrequently. We use MERGE—updates overwrite in place.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SCD Type 2 </w:t>
      </w:r>
      <w:r>
        <w:rPr>
          <w:rFonts w:ascii="Arial" w:cs="Arial" w:eastAsia="Arial" w:hAnsi="Arial"/>
          <w:sz w:val="20"/>
          <w:szCs w:val="20"/>
        </w:rPr>
        <w:t xml:space="preserve">(2 dimensions: DIM_Taxpayer, DIM_Officer): These entities change meaningfully over time. We UPDATE to close the current record (set EndDate, IsCurrent=0) then INSERT the new version, preserving full history.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Q9: Why are there 10 Satellites but only 9 Hubs?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Taxpayer Hub has two satellites: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SAT_Taxpayer: Core attributes (TradingName, CategoryID, Address, etc.)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SAT_Taxpayer_RiskLevel: Risk-related attributes that change at different frequencies.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is a DV2 best practice called “satellite splitting.” The 10th satellite was created as part of the schema flexibility validation, demonstrating DV2’s non-destructive extensibility.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Q10: Your complex query shows only 1.03× speedup. Isn’t that disappointing?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is an expected and defensible result. The complex query returns 38,491 rows with heavy GROUP BY aggregation: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The aggregation work (SUM, COUNT, GROUP BY) dominates execution time for both approaches.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Gold’s join advantage (3 joins vs 7) becomes marginal when the CPU spends most time on aggregation.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Both finish in under 1 second (771ms vs 798ms).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real DV2 advantage appears in simple/medium queries (8.3× and 6.8× speedup) where join count directly impacts performance.</w:t>
      </w:r>
    </w:p>
    <w:p>
      <w:r>
        <w:br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Category C: Comparative Analysis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Q11: You mention a “qualitative comparison with Kimball”—what specific advantages does DV2 have?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Four key advantages demonstrated through the proof-of-concept: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Schema adaptability: Adding SAT_Taxpayer_RiskLevel required zero modifications to existing tables. In Kimball, this would require altering DIM_Taxpayer.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Historical completeness: Every change to every entity is preserved with timestamps. Kimball SCD Type 2 achieves this for dimensions but not for fact data.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Auditability: LoadDate, RecordSource, and HashDiff on every record create a complete audit trail—critical for government tax compliance.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Failure recovery: Watermark-based incremental loading means failures resume from the last successful point.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Q12: What are the disadvantages of your approach compared to pure Kimball?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 acknowledge these trade-offs honestly: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ETL complexity: 49 SSIS packages vs approximately 20 for a direct Kimball approach.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Storage overhead: The Bronze layer stores raw vault data essentially duplicated in Gold.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Query complexity for Raw Vault: Direct Raw Vault queries require 5–7 joins—without the Gold layer, DV2 would be impractical for reporting.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Learning curve: DV2 methodology requires training that may not be readily available in Cambodia.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These trade-offs are justified in the government tax context where regulatory compliance and auditability are non-negotiable.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Q13: How does your work differ from existing DV2 literature?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3238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Yessad [9]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Naamane [10]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Vines [11]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Research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Theoretical only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telecom case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TPC-DS benchmark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POC with Cambodia tax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 only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 + marts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 vs dimensional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 + full medallion (4 layers)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benchmarks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metrics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+ storage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ETL + query + scalability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Telecom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Government tax administration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Server + SSIS</w:t>
            </w:r>
          </w:p>
        </w:tc>
      </w:tr>
    </w:tbl>
    <w:p>
      <w:r>
        <w:br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Category D: Results and Limitations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Q14: How would this scale to Cambodia’s actual taxpayer base of 500,000+?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Our test used 1,000 taxpayers generating ~336K records. However, full loads are one-time events. The incremental load (93.6 seconds for changes only) is the daily operational pattern. With proper indexing and partitioning, incremental loads should remain under 5 minutes even at production scale. The throughput of 2,785 records/second is consistent across both full and incremental runs, suggesting good scalability.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Q15: What are the main limitations of your research?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Simulated data: While realistic in structure, may not capture all edge cases of real tax data.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Single-server deployment: No testing of distributed loading or parallel SSIS execution.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No Kimball benchmark: The comparison with Kimball is qualitative, not an empirical side-by-side implementation.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Limited scale: 1,000 taxpayers validates methodology but doesn’t prove production readiness at national scale.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Q16: What would you recommend as future work?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Production pilot: Deploy with anonymized real tax data from one province.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Real-time CDC integration: Add Change Data Capture for near-real-time updates.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Cloud migration path: Evaluate Azure Synapse or AWS Redshift while maintaining medallion architecture.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DIM_Date implementation: Add a complete date dimension for calendar-based analytics.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Category E: Broader Context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Q17: How does this research contribute to Cambodia’s digital transformation agenda?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Cambodia’s Royal Government has prioritized digital government through the Cambodia Digital Economy and Society Policy Framework 2021–2035. This research contributes by: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Providing a proven reference architecture specifically designed for Cambodian government data systems.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Using locally available technology (SQL Server) rather than requiring new infrastructure.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Demonstrating that international best practices can be adapted to Cambodia’s specific needs.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Offering a replicable model that other government agencies could adopt.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Q18: Why is this research important for a Master’s in Data Science and Engineering?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thesis bridges the gap between academic data warehousing theory and practical government implementation. It applies three established methodologies (Data Vault 2.0, medallion architecture, Kimball star schema) in a unified implementation, provides quantitative evidence where the literature has mostly theoretical comparisons, addresses a real-world problem in Cambodia’s tax administration, and demonstrates the full data engineering lifecycle: design → implement → test → benchmark → evaluate.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3: Defense Presentation Tips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Time Management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With 18 slides, aim for approximately 1.5 minutes per slide (27 minutes total) to leave 15–20 minutes for Q&amp;A.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Slides to Emphasize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Architecture diagram (Slide 8)—the visual heart of your implementation.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Benchmark results (Slide 12)—your quantitative evidence.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Comparison table (Slide 13)—your contribution to the literature.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Anticipate the Kimball Question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Be upfront that the comparison is qualitative/architectural, not empirical. This shows academic honesty and the committee will respect that.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DIM_Date Gap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If asked, explain it was a design decision, not an oversight—dates are resolved directly from fact columns.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Know Your Key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9"/>
        <w:gridCol w:w="4319"/>
      </w:tblGrid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Records (Full Load)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336,677 records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Load Duration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120.9 seconds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Incremental Load Duration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93.6 seconds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2,785 records/second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Speedup Range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1.03× to 8.3×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Query (Gold vs Raw Vault)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24ms vs 199ms (8.3×)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Query (Gold vs Raw Vault)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18ms vs 123ms (6.8×)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Query (Gold vs Raw Vault)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771ms vs 798ms (1.03×)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databases, 50 tables, 49 SSIS packages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Bronze Layer Objects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Hubs, 10 Satellites, 5 Links</w:t>
            </w:r>
          </w:p>
        </w:tc>
      </w:tr>
      <w:tr>
        <w:tc>
          <w:tcPr>
            <w:tcW w:type="dxa" w:w="5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Layer Objects</w:t>
            </w:r>
          </w:p>
        </w:tc>
        <w:tc>
          <w:tcPr>
            <w:tcW w:type="dxa" w:w="4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Dimensions, 4 Fact tables</w:t>
            </w:r>
          </w:p>
        </w:tc>
      </w:tr>
    </w:tbl>
    <w:p>
      <w:pPr>
        <w:spacing w:before="600"/>
      </w:pPr>
    </w:p>
    <w:p>
      <w:pPr>
        <w:pBdr>
          <w:top w:val="single" w:color="2E75B6" w:sz="6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Good luck with your defense!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2"/>
    <w:lvlOverride w:ilvl="0">
      <w:startOverride w:val="1"/>
    </w:lvlOverride>
  </w:num>
  <w:num w:numId="5">
    <w:abstractNumId w:val="33"/>
    <w:lvlOverride w:ilvl="0">
      <w:startOverride w:val="1"/>
    </w:lvlOverride>
  </w:num>
  <w:num w:numId="6">
    <w:abstractNumId w:val="34"/>
    <w:lvlOverride w:ilvl="0">
      <w:startOverride w:val="1"/>
    </w:lvlOverride>
  </w:num>
  <w:num w:numId="7">
    <w:abstractNumId w:val="35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36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37"/>
    <w:lvlOverride w:ilvl="0">
      <w:startOverride w:val="1"/>
    </w:lvlOverride>
  </w:num>
  <w:num w:numId="14">
    <w:abstractNumId w:val="3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2026-02-25T06:11:20.625Z</dcterms:created>
  <dcterms:modified xsi:type="dcterms:W3CDTF">2026-02-25T06:11:20.626Z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