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noProof/>
        </w:rPr>
        <w:drawing>
          <wp:inline distT="0" distB="0" distL="0" distR="0">
            <wp:extent cx="5486400" cy="1733283"/>
            <wp:effectExtent l="0" t="0" r="0" b="0"/>
            <wp:docPr id="107" name="1_2_column_stru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1_2_column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1F5F9" w:val="clear"/>
        <w:spacing w:after="180"/>
        <w:ind w:left="360" w:right="360"/>
      </w:pPr>
      <w:r>
        <w:rPr>
          <w:noProof/>
        </w:rPr>
        <w:drawing>
          <wp:inline distT="0" distB="0" distL="0" distR="0">
            <wp:extent cx="5486400" cy="2837165"/>
            <wp:effectExtent l="0" t="0" r="0" b="0"/>
            <wp:docPr id="106" name="1_4_check_constraint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1_4_check_constra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1F5F9" w:val="clear"/>
        <w:spacing w:after="180"/>
        <w:ind w:left="360" w:right="360"/>
      </w:pPr>
      <w:r>
        <w:rPr>
          <w:noProof/>
        </w:rPr>
        <w:drawing>
          <wp:inline distT="0" distB="0" distL="0" distR="0">
            <wp:extent cx="5486400" cy="1161142"/>
            <wp:effectExtent l="0" t="0" r="0" b="0"/>
            <wp:docPr id="105" name="2_1_taxpayer_category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2_1_taxpayer_categ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1F5F9" w:val="clear"/>
        <w:spacing w:after="180"/>
        <w:ind w:left="360" w:right="360"/>
      </w:pPr>
      <w:r>
        <w:rPr>
          <w:noProof/>
        </w:rPr>
        <w:drawing>
          <wp:inline distT="0" distB="0" distL="0" distR="0">
            <wp:extent cx="5400675" cy="2990850"/>
            <wp:effectExtent l="0" t="0" r="0" b="0"/>
            <wp:docPr id="104" name="2_3_monthly_20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2_3_monthly_20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1F5F9" w:val="clear"/>
        <w:spacing w:after="180"/>
        <w:ind w:left="360" w:right="360"/>
      </w:pPr>
      <w:r>
        <w:rPr>
          <w:noProof/>
        </w:rPr>
        <w:drawing>
          <wp:inline distT="0" distB="0" distL="0" distR="0">
            <wp:extent cx="2828925" cy="1733550"/>
            <wp:effectExtent l="0" t="0" r="0" b="0"/>
            <wp:docPr id="103" name="2_5_declaration_stat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2_5_declaration_stat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1F5F9" w:val="clear"/>
        <w:spacing w:after="180"/>
        <w:ind w:left="360" w:right="360"/>
      </w:pPr>
      <w:r>
        <w:rPr>
          <w:noProof/>
        </w:rPr>
        <w:drawing>
          <wp:inline distT="0" distB="0" distL="0" distR="0">
            <wp:extent cx="3962400" cy="1943100"/>
            <wp:effectExtent l="0" t="0" r="0" b="0"/>
            <wp:docPr id="102" name="3_1_orphan_check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3_1_orphan_che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1F5F9" w:val="clear"/>
        <w:spacing w:after="180"/>
        <w:ind w:left="360" w:right="360"/>
      </w:pPr>
      <w:r>
        <w:rPr>
          <w:noProof/>
        </w:rPr>
        <w:drawing>
          <wp:inline distT="0" distB="0" distL="0" distR="0">
            <wp:extent cx="3714750" cy="685800"/>
            <wp:effectExtent l="0" t="0" r="0" b="0"/>
            <wp:docPr id="101" name="3_3_uniquene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3_3_uniquen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1F5F9" w:val="clear"/>
        <w:spacing w:after="180"/>
        <w:ind w:left="360" w:right="360"/>
      </w:pPr>
      <w:r>
        <w:rPr>
          <w:noProof/>
        </w:rPr>
        <w:drawing>
          <wp:inline distT="0" distB="0" distL="0" distR="0">
            <wp:extent cx="2286000" cy="685800"/>
            <wp:effectExtent l="0" t="0" r="0" b="0"/>
            <wp:docPr id="100" name="4_2_database_siz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4_2_database_siz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1F5F9" w:val="clear"/>
        <w:spacing w:after="180"/>
        <w:ind w:left="360" w:right="360"/>
      </w:pPr>
      <w:r>
        <w:rPr>
          <w:noProof/>
        </w:rPr>
        <w:drawing>
          <wp:inline distT="0" distB="0" distL="0" distR="0">
            <wp:extent cx="5486400" cy="398206"/>
            <wp:effectExtent l="0" t="0" r="0" b="0"/>
            <wp:docPr id="39" name="4_1_database_summary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4_1_database_summa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Verification Checklist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24"/>
        <w:gridCol w:w="2212"/>
        <w:gridCol w:w="2212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Item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9 entity tables exist in TaxSystemDB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tables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taxpayers in Taxpayer table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rows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Declarations span 2020–2023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years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Filing coverage ~80%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payment methods present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≥3 methods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orphan records (all FKs valid)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orphans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NULLs on critical columns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NULLs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TaxID is unique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constraints defined in schema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 FKs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constraints on numeric fields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 check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distribution is realistic (right-skewed)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Diverse ranges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size reasonable for POC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 MB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[☑ PASS#x2713;] PASS</w:t>
            </w:r>
          </w:p>
        </w:tc>
      </w:tr>
    </w:tbl>
    <w:p>
      <w:pPr>
        <w:spacing w:before="300"/>
      </w:pPr>
    </w:p>
    <w:p>
      <w:pPr>
        <w:shd w:fill="DCFCE7" w:val="clear"/>
        <w:spacing w:before="200" w:after="200"/>
        <w:ind w:left="360" w:right="36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VERIFICATION RESULT: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12 checks passed. The source database contains correctly structured, referentially intact, and realistically distributed sample data as described in Chapter 3 of the final report.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Instructions: </w:t>
      </w:r>
      <w:r>
        <w:rPr>
          <w:rFonts w:ascii="Arial" w:cs="Arial" w:eastAsia="Arial" w:hAnsi="Arial"/>
          <w:sz w:val="22"/>
          <w:szCs w:val="22"/>
        </w:rPr>
        <w:t xml:space="preserve">Run Verify_SourceDatabase.sql in SSMS, take screenshots of each result grid, and paste them into the corresponding sections above. Check off each item in the verification checklist.</w:t>
      </w:r>
    </w:p>
    <w:sectPr>
      <w:headerReference w:type="default" r:id="rId6"/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Mr. Sot So — RUPP 2026 —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Source Database Verification — Data Vault 2.0 Tax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A9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1_1_table_inventory.png"/><Relationship Id="rId10" Type="http://schemas.openxmlformats.org/officeDocument/2006/relationships/image" Target="media/1_2_column_structure.png"/><Relationship Id="rId11" Type="http://schemas.openxmlformats.org/officeDocument/2006/relationships/image" Target="media/1_3_foreign_keys.png"/><Relationship Id="rId12" Type="http://schemas.openxmlformats.org/officeDocument/2006/relationships/image" Target="media/1_4_check_constraints.png"/><Relationship Id="rId13" Type="http://schemas.openxmlformats.org/officeDocument/2006/relationships/image" Target="media/1_5_indexes.png"/><Relationship Id="rId14" Type="http://schemas.openxmlformats.org/officeDocument/2006/relationships/image" Target="media/2_1_taxpayer_category.png"/><Relationship Id="rId15" Type="http://schemas.openxmlformats.org/officeDocument/2006/relationships/image" Target="media/2_2_temporal_coverage.png"/><Relationship Id="rId16" Type="http://schemas.openxmlformats.org/officeDocument/2006/relationships/image" Target="media/2_3_monthly_2023.png"/><Relationship Id="rId17" Type="http://schemas.openxmlformats.org/officeDocument/2006/relationships/image" Target="media/2_4_payment_methods.png"/><Relationship Id="rId18" Type="http://schemas.openxmlformats.org/officeDocument/2006/relationships/image" Target="media/2_5_declaration_status.png"/><Relationship Id="rId19" Type="http://schemas.openxmlformats.org/officeDocument/2006/relationships/image" Target="media/2_6_revenue_distribution.png"/><Relationship Id="rId20" Type="http://schemas.openxmlformats.org/officeDocument/2006/relationships/image" Target="media/3_1_orphan_check.png"/><Relationship Id="rId21" Type="http://schemas.openxmlformats.org/officeDocument/2006/relationships/image" Target="media/3_2_null_check.png"/><Relationship Id="rId22" Type="http://schemas.openxmlformats.org/officeDocument/2006/relationships/image" Target="media/3_3_uniqueness.png"/><Relationship Id="rId23" Type="http://schemas.openxmlformats.org/officeDocument/2006/relationships/image" Target="media/4_1_database_summary.png"/><Relationship Id="rId24" Type="http://schemas.openxmlformats.org/officeDocument/2006/relationships/image" Target="media/4_2_database_size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2026-02-24T02:26:57.591Z</dcterms:created>
  <dcterms:modified xsi:type="dcterms:W3CDTF">2026-02-24T02:26:57.591Z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