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Source Database &amp; Sample Data</w:t>
      </w:r>
    </w:p>
    <w:p>
      <w:pPr>
        <w:spacing w:after="200"/>
        <w:jc w:val="center"/>
      </w:pPr>
      <w:r>
        <w:rPr>
          <w:rFonts w:ascii="Arial" w:cs="Arial" w:eastAsia="Arial" w:hAnsi="Arial"/>
          <w:color w:val="2A9D8F"/>
          <w:sz w:val="32"/>
          <w:szCs w:val="32"/>
        </w:rPr>
        <w:t xml:space="preserve">Verification Evidence</w:t>
      </w:r>
    </w:p>
    <w:p>
      <w:pPr>
        <w:pBdr>
          <w:bottom w:val="single" w:color="2A9D8F" w:sz="6" w:space="8"/>
        </w:pBdr>
        <w:spacing w:after="120"/>
        <w:jc w:val="center"/>
      </w:pPr>
    </w:p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Companion Document to Chapter 3: Methodology (Section 3.2)</w:t>
      </w:r>
    </w:p>
    <w:p>
      <w:pPr>
        <w:spacing w:before="400"/>
        <w:jc w:val="center"/>
      </w:pPr>
      <w:r>
        <w:rPr>
          <w:rFonts w:ascii="Arial" w:cs="Arial" w:eastAsia="Arial" w:hAnsi="Arial"/>
          <w:sz w:val="22"/>
          <w:szCs w:val="22"/>
        </w:rPr>
        <w:t xml:space="preserve">Mr. Sot So  •  Supervisor: Mr. Chap Chanpiseth</w:t>
      </w:r>
    </w:p>
    <w:p>
      <w:pPr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Royal University of Phnom Penh — February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Database Structure Verification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section verifies that the TaxSystemDB source database contains all 9 entity tables and 3 lookup tables as described in Chapter 3 (Section 3.2), with correct schemas, constraints, and relationships.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1.1 Table Inventory &amp; Record Counts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Expected: </w:t>
      </w:r>
      <w:r>
        <w:rPr>
          <w:rFonts w:ascii="Arial" w:cs="Arial" w:eastAsia="Arial" w:hAnsi="Arial"/>
          <w:sz w:val="22"/>
          <w:szCs w:val="22"/>
        </w:rPr>
        <w:t xml:space="preserve">12 tables (3 Lookup + 3 Reference + 3 Transaction + 3 additional) with specified record counts.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SQL Query: </w:t>
      </w:r>
      <w:r>
        <w:rPr>
          <w:rFonts w:ascii="Arial" w:cs="Arial" w:eastAsia="Arial" w:hAnsi="Arial"/>
          <w:sz w:val="22"/>
          <w:szCs w:val="22"/>
        </w:rPr>
        <w:t xml:space="preserve">SELECT TABLE_NAME, rows FROM INFORMATION_SCHEMA.TABLES JOIN sys.partitions...</w:t>
      </w:r>
    </w:p>
    <w:p>
      <w:pPr>
        <w:shd w:fill="FEF3C7" w:val="clear"/>
        <w:spacing w:before="120" w:after="60"/>
        <w:ind w:left="360" w:righ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📷 SCREENSHOT: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SSMS result grid showing all tables with record counts</w:t>
      </w:r>
    </w:p>
    <w:p>
      <w:pPr>
        <w:shd w:fill="F1F5F9" w:val="clear"/>
        <w:spacing w:after="60"/>
        <w:ind w:left="360" w:right="36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[Paste SSMS screenshot here]</w:t>
      </w:r>
    </w:p>
    <w:p>
      <w:pPr>
        <w:shd w:fill="F1F5F9" w:val="clear"/>
        <w:spacing w:after="180"/>
        <w:ind w:left="360" w:right="360"/>
      </w:pPr>
      <w:r>
        <w:rPr>
          <w:rFonts w:ascii="Arial" w:cs="Arial" w:eastAsia="Arial" w:hAnsi="Arial"/>
          <w:sz w:val="60"/>
          <w:szCs w:val="60"/>
        </w:rPr>
        <w:t xml:space="preserve"> 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1.2 Column Structure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Verify each table has the correct columns with appropriate data types.</w:t>
      </w:r>
    </w:p>
    <w:p>
      <w:pPr>
        <w:shd w:fill="FEF3C7" w:val="clear"/>
        <w:spacing w:before="120" w:after="60"/>
        <w:ind w:left="360" w:righ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📷 SCREENSHOT: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SSMS result showing column names and counts per table</w:t>
      </w:r>
    </w:p>
    <w:p>
      <w:pPr>
        <w:shd w:fill="F1F5F9" w:val="clear"/>
        <w:spacing w:after="60"/>
        <w:ind w:left="360" w:right="36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[Paste SSMS screenshot here]</w:t>
      </w:r>
    </w:p>
    <w:p>
      <w:pPr>
        <w:shd w:fill="F1F5F9" w:val="clear"/>
        <w:spacing w:after="180"/>
        <w:ind w:left="360" w:right="360"/>
      </w:pPr>
      <w:r>
        <w:rPr>
          <w:rFonts w:ascii="Arial" w:cs="Arial" w:eastAsia="Arial" w:hAnsi="Arial"/>
          <w:sz w:val="60"/>
          <w:szCs w:val="60"/>
        </w:rPr>
        <w:t xml:space="preserve"> 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1.3 Foreign Key Relationships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Expected: </w:t>
      </w:r>
      <w:r>
        <w:rPr>
          <w:rFonts w:ascii="Arial" w:cs="Arial" w:eastAsia="Arial" w:hAnsi="Arial"/>
          <w:sz w:val="22"/>
          <w:szCs w:val="22"/>
        </w:rPr>
        <w:t xml:space="preserve">All FK constraints enforcing referential integrity between child and parent tables.</w:t>
      </w:r>
    </w:p>
    <w:p>
      <w:pPr>
        <w:shd w:fill="FEF3C7" w:val="clear"/>
        <w:spacing w:before="120" w:after="60"/>
        <w:ind w:left="360" w:righ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📷 SCREENSHOT: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SSMS result showing FK names, child tables, and parent tables</w:t>
      </w:r>
    </w:p>
    <w:p>
      <w:pPr>
        <w:shd w:fill="F1F5F9" w:val="clear"/>
        <w:spacing w:after="60"/>
        <w:ind w:left="360" w:right="36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[Paste SSMS screenshot here]</w:t>
      </w:r>
    </w:p>
    <w:p>
      <w:pPr>
        <w:shd w:fill="F1F5F9" w:val="clear"/>
        <w:spacing w:after="180"/>
        <w:ind w:left="360" w:right="360"/>
      </w:pPr>
      <w:r>
        <w:rPr>
          <w:rFonts w:ascii="Arial" w:cs="Arial" w:eastAsia="Arial" w:hAnsi="Arial"/>
          <w:sz w:val="60"/>
          <w:szCs w:val="60"/>
        </w:rPr>
        <w:t xml:space="preserve"> 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1.4 CHECK Constraints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Verify data quality constraints (e.g., non-negative amounts, valid percentages).</w:t>
      </w:r>
    </w:p>
    <w:p>
      <w:pPr>
        <w:shd w:fill="FEF3C7" w:val="clear"/>
        <w:spacing w:before="120" w:after="60"/>
        <w:ind w:left="360" w:righ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📷 SCREENSHOT: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SSMS result showing CHECK constraint definitions</w:t>
      </w:r>
    </w:p>
    <w:p>
      <w:pPr>
        <w:shd w:fill="F1F5F9" w:val="clear"/>
        <w:spacing w:after="60"/>
        <w:ind w:left="360" w:right="36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[Paste SSMS screenshot here]</w:t>
      </w:r>
    </w:p>
    <w:p>
      <w:pPr>
        <w:shd w:fill="F1F5F9" w:val="clear"/>
        <w:spacing w:after="180"/>
        <w:ind w:left="360" w:right="360"/>
      </w:pPr>
      <w:r>
        <w:rPr>
          <w:rFonts w:ascii="Arial" w:cs="Arial" w:eastAsia="Arial" w:hAnsi="Arial"/>
          <w:sz w:val="60"/>
          <w:szCs w:val="60"/>
        </w:rPr>
        <w:t xml:space="preserve"> 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1.5 Indexes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Verify appropriate indexing for query performance.</w:t>
      </w:r>
    </w:p>
    <w:p>
      <w:pPr>
        <w:shd w:fill="FEF3C7" w:val="clear"/>
        <w:spacing w:before="120" w:after="60"/>
        <w:ind w:left="360" w:righ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📷 SCREENSHOT: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SSMS result showing index names, types, and columns</w:t>
      </w:r>
    </w:p>
    <w:p>
      <w:pPr>
        <w:shd w:fill="F1F5F9" w:val="clear"/>
        <w:spacing w:after="60"/>
        <w:ind w:left="360" w:right="36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[Paste SSMS screenshot here]</w:t>
      </w:r>
    </w:p>
    <w:p>
      <w:pPr>
        <w:shd w:fill="F1F5F9" w:val="clear"/>
        <w:spacing w:after="180"/>
        <w:ind w:left="360" w:right="360"/>
      </w:pPr>
      <w:r>
        <w:rPr>
          <w:rFonts w:ascii="Arial" w:cs="Arial" w:eastAsia="Arial" w:hAnsi="Arial"/>
          <w:sz w:val="60"/>
          <w:szCs w:val="60"/>
        </w:rPr>
        <w:t xml:space="preserve"> 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Data Distribution &amp; Quality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section verifies that the sample data produces realistic distributions matching what is claimed in the report: diverse taxpayer categories, realistic revenue ranges, temporal coverage spanning 2020–2023, and approximately 80% filing coverage.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2.1 Taxpayer Distribution by Category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Expected: </w:t>
      </w:r>
      <w:r>
        <w:rPr>
          <w:rFonts w:ascii="Arial" w:cs="Arial" w:eastAsia="Arial" w:hAnsi="Arial"/>
          <w:sz w:val="22"/>
          <w:szCs w:val="22"/>
        </w:rPr>
        <w:t xml:space="preserve">1,000 taxpayers distributed across 5 categories (Individual, Small Business, Corporation, etc.) with realistic revenue ranges.</w:t>
      </w:r>
    </w:p>
    <w:p>
      <w:pPr>
        <w:shd w:fill="FEF3C7" w:val="clear"/>
        <w:spacing w:before="120" w:after="60"/>
        <w:ind w:left="360" w:righ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📷 SCREENSHOT: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SSMS result showing category distribution with counts, percentages, and revenue stats</w:t>
      </w:r>
    </w:p>
    <w:p>
      <w:pPr>
        <w:shd w:fill="F1F5F9" w:val="clear"/>
        <w:spacing w:after="60"/>
        <w:ind w:left="360" w:right="36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[Paste SSMS screenshot here]</w:t>
      </w:r>
    </w:p>
    <w:p>
      <w:pPr>
        <w:shd w:fill="F1F5F9" w:val="clear"/>
        <w:spacing w:after="180"/>
        <w:ind w:left="360" w:right="360"/>
      </w:pPr>
      <w:r>
        <w:rPr>
          <w:rFonts w:ascii="Arial" w:cs="Arial" w:eastAsia="Arial" w:hAnsi="Arial"/>
          <w:sz w:val="60"/>
          <w:szCs w:val="60"/>
        </w:rPr>
        <w:t xml:space="preserve"> 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2.2 Temporal Coverage (Year-Level)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Expected: </w:t>
      </w:r>
      <w:r>
        <w:rPr>
          <w:rFonts w:ascii="Arial" w:cs="Arial" w:eastAsia="Arial" w:hAnsi="Arial"/>
          <w:sz w:val="22"/>
          <w:szCs w:val="22"/>
        </w:rPr>
        <w:t xml:space="preserve">Declarations spanning 2020–2023 with ~80% taxpayer filing coverage per year.</w:t>
      </w:r>
    </w:p>
    <w:p>
      <w:pPr>
        <w:shd w:fill="FEF3C7" w:val="clear"/>
        <w:spacing w:before="120" w:after="60"/>
        <w:ind w:left="360" w:righ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📷 SCREENSHOT: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SSMS result showing year, declaration count, unique taxpayers, and coverage %</w:t>
      </w:r>
    </w:p>
    <w:p>
      <w:pPr>
        <w:shd w:fill="F1F5F9" w:val="clear"/>
        <w:spacing w:after="60"/>
        <w:ind w:left="360" w:right="36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[Paste SSMS screenshot here]</w:t>
      </w:r>
    </w:p>
    <w:p>
      <w:pPr>
        <w:shd w:fill="F1F5F9" w:val="clear"/>
        <w:spacing w:after="180"/>
        <w:ind w:left="360" w:right="360"/>
      </w:pPr>
      <w:r>
        <w:rPr>
          <w:rFonts w:ascii="Arial" w:cs="Arial" w:eastAsia="Arial" w:hAnsi="Arial"/>
          <w:sz w:val="60"/>
          <w:szCs w:val="60"/>
        </w:rPr>
        <w:t xml:space="preserve"> 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2.3 Monthly Distribution (2023)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Expected: </w:t>
      </w:r>
      <w:r>
        <w:rPr>
          <w:rFonts w:ascii="Arial" w:cs="Arial" w:eastAsia="Arial" w:hAnsi="Arial"/>
          <w:sz w:val="22"/>
          <w:szCs w:val="22"/>
        </w:rPr>
        <w:t xml:space="preserve">Consistent monthly filing patterns across all 12 months within a year.</w:t>
      </w:r>
    </w:p>
    <w:p>
      <w:pPr>
        <w:shd w:fill="FEF3C7" w:val="clear"/>
        <w:spacing w:before="120" w:after="60"/>
        <w:ind w:left="360" w:righ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📷 SCREENSHOT: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SSMS result showing monthly declaration counts and tax amounts for 2023</w:t>
      </w:r>
    </w:p>
    <w:p>
      <w:pPr>
        <w:shd w:fill="F1F5F9" w:val="clear"/>
        <w:spacing w:after="60"/>
        <w:ind w:left="360" w:right="36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[Paste SSMS screenshot here]</w:t>
      </w:r>
    </w:p>
    <w:p>
      <w:pPr>
        <w:shd w:fill="F1F5F9" w:val="clear"/>
        <w:spacing w:after="180"/>
        <w:ind w:left="360" w:right="360"/>
      </w:pPr>
      <w:r>
        <w:rPr>
          <w:rFonts w:ascii="Arial" w:cs="Arial" w:eastAsia="Arial" w:hAnsi="Arial"/>
          <w:sz w:val="60"/>
          <w:szCs w:val="60"/>
        </w:rPr>
        <w:t xml:space="preserve"> 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2.4 Payment Method Distribution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Expected: </w:t>
      </w:r>
      <w:r>
        <w:rPr>
          <w:rFonts w:ascii="Arial" w:cs="Arial" w:eastAsia="Arial" w:hAnsi="Arial"/>
          <w:sz w:val="22"/>
          <w:szCs w:val="22"/>
        </w:rPr>
        <w:t xml:space="preserve">Multiple payment methods (Bank Transfer, Cash, Check, etc.) with realistic distribution.</w:t>
      </w:r>
    </w:p>
    <w:p>
      <w:pPr>
        <w:shd w:fill="FEF3C7" w:val="clear"/>
        <w:spacing w:before="120" w:after="60"/>
        <w:ind w:left="360" w:righ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📷 SCREENSHOT: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SSMS result showing payment methods with counts, percentages, and amounts</w:t>
      </w:r>
    </w:p>
    <w:p>
      <w:pPr>
        <w:shd w:fill="F1F5F9" w:val="clear"/>
        <w:spacing w:after="60"/>
        <w:ind w:left="360" w:right="36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[Paste SSMS screenshot here]</w:t>
      </w:r>
    </w:p>
    <w:p>
      <w:pPr>
        <w:shd w:fill="F1F5F9" w:val="clear"/>
        <w:spacing w:after="180"/>
        <w:ind w:left="360" w:right="360"/>
      </w:pPr>
      <w:r>
        <w:rPr>
          <w:rFonts w:ascii="Arial" w:cs="Arial" w:eastAsia="Arial" w:hAnsi="Arial"/>
          <w:sz w:val="60"/>
          <w:szCs w:val="60"/>
        </w:rPr>
        <w:t xml:space="preserve"> 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2.5 Declaration Status Distribution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Expected: </w:t>
      </w:r>
      <w:r>
        <w:rPr>
          <w:rFonts w:ascii="Arial" w:cs="Arial" w:eastAsia="Arial" w:hAnsi="Arial"/>
          <w:sz w:val="22"/>
          <w:szCs w:val="22"/>
        </w:rPr>
        <w:t xml:space="preserve">Mix of statuses (Filed, Late, Paid, Overdue, etc.) reflecting realistic compliance scenarios.</w:t>
      </w:r>
    </w:p>
    <w:p>
      <w:pPr>
        <w:shd w:fill="FEF3C7" w:val="clear"/>
        <w:spacing w:before="120" w:after="60"/>
        <w:ind w:left="360" w:righ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📷 SCREENSHOT: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SSMS result showing status distribution with percentages</w:t>
      </w:r>
    </w:p>
    <w:p>
      <w:pPr>
        <w:shd w:fill="F1F5F9" w:val="clear"/>
        <w:spacing w:after="60"/>
        <w:ind w:left="360" w:right="36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[Paste SSMS screenshot here]</w:t>
      </w:r>
    </w:p>
    <w:p>
      <w:pPr>
        <w:shd w:fill="F1F5F9" w:val="clear"/>
        <w:spacing w:after="180"/>
        <w:ind w:left="360" w:right="360"/>
      </w:pPr>
      <w:r>
        <w:rPr>
          <w:rFonts w:ascii="Arial" w:cs="Arial" w:eastAsia="Arial" w:hAnsi="Arial"/>
          <w:sz w:val="60"/>
          <w:szCs w:val="60"/>
        </w:rPr>
        <w:t xml:space="preserve"> 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2.6 Revenue Distribution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Expected: </w:t>
      </w:r>
      <w:r>
        <w:rPr>
          <w:rFonts w:ascii="Arial" w:cs="Arial" w:eastAsia="Arial" w:hAnsi="Arial"/>
          <w:sz w:val="22"/>
          <w:szCs w:val="22"/>
        </w:rPr>
        <w:t xml:space="preserve">Right-skewed distribution typical of real economies — many small taxpayers, few large ones.</w:t>
      </w:r>
    </w:p>
    <w:p>
      <w:pPr>
        <w:shd w:fill="FEF3C7" w:val="clear"/>
        <w:spacing w:before="120" w:after="60"/>
        <w:ind w:left="360" w:righ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📷 SCREENSHOT: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SSMS result showing revenue range buckets with taxpayer counts</w:t>
      </w:r>
    </w:p>
    <w:p>
      <w:pPr>
        <w:shd w:fill="F1F5F9" w:val="clear"/>
        <w:spacing w:after="60"/>
        <w:ind w:left="360" w:right="36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[Paste SSMS screenshot here]</w:t>
      </w:r>
    </w:p>
    <w:p>
      <w:pPr>
        <w:shd w:fill="F1F5F9" w:val="clear"/>
        <w:spacing w:after="180"/>
        <w:ind w:left="360" w:right="360"/>
      </w:pPr>
      <w:r>
        <w:rPr>
          <w:rFonts w:ascii="Arial" w:cs="Arial" w:eastAsia="Arial" w:hAnsi="Arial"/>
          <w:sz w:val="60"/>
          <w:szCs w:val="60"/>
        </w:rPr>
        <w:t xml:space="preserve"> 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Referential Integrity Proof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section proves zero orphan records exist — all foreign key relationships are valid, critical columns have no NULLs, and business keys are unique.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3.1 Orphan Record Check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Expected: </w:t>
      </w:r>
      <w:r>
        <w:rPr>
          <w:rFonts w:ascii="Arial" w:cs="Arial" w:eastAsia="Arial" w:hAnsi="Arial"/>
          <w:sz w:val="22"/>
          <w:szCs w:val="22"/>
        </w:rPr>
        <w:t xml:space="preserve">ALL relationships show 0 orphan records.</w:t>
      </w:r>
    </w:p>
    <w:p>
      <w:pPr>
        <w:shd w:fill="FEF3C7" w:val="clear"/>
        <w:spacing w:before="120" w:after="60"/>
        <w:ind w:left="360" w:righ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📷 SCREENSHOT: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SSMS result showing 0 orphans for all 5 relationships checked</w:t>
      </w:r>
    </w:p>
    <w:p>
      <w:pPr>
        <w:shd w:fill="F1F5F9" w:val="clear"/>
        <w:spacing w:after="60"/>
        <w:ind w:left="360" w:right="36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[Paste SSMS screenshot here]</w:t>
      </w:r>
    </w:p>
    <w:p>
      <w:pPr>
        <w:shd w:fill="F1F5F9" w:val="clear"/>
        <w:spacing w:after="180"/>
        <w:ind w:left="360" w:right="360"/>
      </w:pPr>
      <w:r>
        <w:rPr>
          <w:rFonts w:ascii="Arial" w:cs="Arial" w:eastAsia="Arial" w:hAnsi="Arial"/>
          <w:sz w:val="60"/>
          <w:szCs w:val="60"/>
        </w:rPr>
        <w:t xml:space="preserve"> 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3.2 NULL Check on Critical Columns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Expected: </w:t>
      </w:r>
      <w:r>
        <w:rPr>
          <w:rFonts w:ascii="Arial" w:cs="Arial" w:eastAsia="Arial" w:hAnsi="Arial"/>
          <w:sz w:val="22"/>
          <w:szCs w:val="22"/>
        </w:rPr>
        <w:t xml:space="preserve">ALL critical columns show 0 NULL count.</w:t>
      </w:r>
    </w:p>
    <w:p>
      <w:pPr>
        <w:shd w:fill="FEF3C7" w:val="clear"/>
        <w:spacing w:before="120" w:after="60"/>
        <w:ind w:left="360" w:righ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📷 SCREENSHOT: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SSMS result showing 0 NULLs for Taxpayer.TaxID, TaxpayerName, AnnualRevenue, etc.</w:t>
      </w:r>
    </w:p>
    <w:p>
      <w:pPr>
        <w:shd w:fill="F1F5F9" w:val="clear"/>
        <w:spacing w:after="60"/>
        <w:ind w:left="360" w:right="36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[Paste SSMS screenshot here]</w:t>
      </w:r>
    </w:p>
    <w:p>
      <w:pPr>
        <w:shd w:fill="F1F5F9" w:val="clear"/>
        <w:spacing w:after="180"/>
        <w:ind w:left="360" w:right="360"/>
      </w:pPr>
      <w:r>
        <w:rPr>
          <w:rFonts w:ascii="Arial" w:cs="Arial" w:eastAsia="Arial" w:hAnsi="Arial"/>
          <w:sz w:val="60"/>
          <w:szCs w:val="60"/>
        </w:rPr>
        <w:t xml:space="preserve"> 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3.3 Uniqueness Verification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Expected: </w:t>
      </w:r>
      <w:r>
        <w:rPr>
          <w:rFonts w:ascii="Arial" w:cs="Arial" w:eastAsia="Arial" w:hAnsi="Arial"/>
          <w:sz w:val="22"/>
          <w:szCs w:val="22"/>
        </w:rPr>
        <w:t xml:space="preserve">Taxpayer.TaxID: Total = Distinct (PASS).</w:t>
      </w:r>
    </w:p>
    <w:p>
      <w:pPr>
        <w:shd w:fill="FEF3C7" w:val="clear"/>
        <w:spacing w:before="120" w:after="60"/>
        <w:ind w:left="360" w:righ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📷 SCREENSHOT: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SSMS result showing TaxID uniqueness check = PASS</w:t>
      </w:r>
    </w:p>
    <w:p>
      <w:pPr>
        <w:shd w:fill="F1F5F9" w:val="clear"/>
        <w:spacing w:after="60"/>
        <w:ind w:left="360" w:right="36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[Paste SSMS screenshot here]</w:t>
      </w:r>
    </w:p>
    <w:p>
      <w:pPr>
        <w:shd w:fill="F1F5F9" w:val="clear"/>
        <w:spacing w:after="180"/>
        <w:ind w:left="360" w:right="360"/>
      </w:pPr>
      <w:r>
        <w:rPr>
          <w:rFonts w:ascii="Arial" w:cs="Arial" w:eastAsia="Arial" w:hAnsi="Arial"/>
          <w:sz w:val="60"/>
          <w:szCs w:val="60"/>
        </w:rPr>
        <w:t xml:space="preserve"> 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Overall Verification Summary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4.1 Database Summary</w:t>
      </w:r>
    </w:p>
    <w:p>
      <w:pPr>
        <w:shd w:fill="FEF3C7" w:val="clear"/>
        <w:spacing w:before="120" w:after="60"/>
        <w:ind w:left="360" w:righ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📷 SCREENSHOT: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SSMS result showing total tables, records, taxpayers, declarations, payments, date range</w:t>
      </w:r>
    </w:p>
    <w:p>
      <w:pPr>
        <w:shd w:fill="F1F5F9" w:val="clear"/>
        <w:spacing w:after="60"/>
        <w:ind w:left="360" w:right="36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[Paste SSMS screenshot here]</w:t>
      </w:r>
    </w:p>
    <w:p>
      <w:pPr>
        <w:shd w:fill="F1F5F9" w:val="clear"/>
        <w:spacing w:after="180"/>
        <w:ind w:left="360" w:right="360"/>
      </w:pPr>
      <w:r>
        <w:rPr>
          <w:rFonts w:ascii="Arial" w:cs="Arial" w:eastAsia="Arial" w:hAnsi="Arial"/>
          <w:sz w:val="60"/>
          <w:szCs w:val="60"/>
        </w:rPr>
        <w:t xml:space="preserve"> 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4.2 Database Size</w:t>
      </w:r>
    </w:p>
    <w:p>
      <w:pPr>
        <w:shd w:fill="FEF3C7" w:val="clear"/>
        <w:spacing w:before="120" w:after="60"/>
        <w:ind w:left="360" w:righ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📷 SCREENSHOT: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SSMS result showing database size in MB</w:t>
      </w:r>
    </w:p>
    <w:p>
      <w:pPr>
        <w:shd w:fill="F1F5F9" w:val="clear"/>
        <w:spacing w:after="60"/>
        <w:ind w:left="360" w:right="36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[Paste SSMS screenshot here]</w:t>
      </w:r>
    </w:p>
    <w:p>
      <w:pPr>
        <w:shd w:fill="F1F5F9" w:val="clear"/>
        <w:spacing w:after="180"/>
        <w:ind w:left="360" w:right="360"/>
      </w:pPr>
      <w:r>
        <w:rPr>
          <w:rFonts w:ascii="Arial" w:cs="Arial" w:eastAsia="Arial" w:hAnsi="Arial"/>
          <w:sz w:val="60"/>
          <w:szCs w:val="60"/>
        </w:rPr>
        <w:t xml:space="preserve"> 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4.3 Verification Checklist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24"/>
        <w:gridCol w:w="2212"/>
        <w:gridCol w:w="2212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 Item</w:t>
            </w:r>
          </w:p>
        </w:tc>
        <w:tc>
          <w:tcPr>
            <w:tcW w:type="dxa" w:w="2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2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12 tables exist in TaxSystemDB</w:t>
            </w:r>
          </w:p>
        </w:tc>
        <w:tc>
          <w:tcPr>
            <w:tcW w:type="dxa" w:w="2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tables</w:t>
            </w:r>
          </w:p>
        </w:tc>
        <w:tc>
          <w:tcPr>
            <w:tcW w:type="dxa" w:w="2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[  ] 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 taxpayers in Taxpayer table</w:t>
            </w:r>
          </w:p>
        </w:tc>
        <w:tc>
          <w:tcPr>
            <w:tcW w:type="dxa" w:w="2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 rows</w:t>
            </w:r>
          </w:p>
        </w:tc>
        <w:tc>
          <w:tcPr>
            <w:tcW w:type="dxa" w:w="2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[  ] 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Declarations span 2020–2023</w:t>
            </w:r>
          </w:p>
        </w:tc>
        <w:tc>
          <w:tcPr>
            <w:tcW w:type="dxa" w:w="2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years</w:t>
            </w:r>
          </w:p>
        </w:tc>
        <w:tc>
          <w:tcPr>
            <w:tcW w:type="dxa" w:w="2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[  ] 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Filing coverage ~80%</w:t>
            </w:r>
          </w:p>
        </w:tc>
        <w:tc>
          <w:tcPr>
            <w:tcW w:type="dxa" w:w="2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≥80%</w:t>
            </w:r>
          </w:p>
        </w:tc>
        <w:tc>
          <w:tcPr>
            <w:tcW w:type="dxa" w:w="2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[  ] 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payment methods present</w:t>
            </w:r>
          </w:p>
        </w:tc>
        <w:tc>
          <w:tcPr>
            <w:tcW w:type="dxa" w:w="2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≥3 methods</w:t>
            </w:r>
          </w:p>
        </w:tc>
        <w:tc>
          <w:tcPr>
            <w:tcW w:type="dxa" w:w="2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[  ] 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orphan records (all FKs valid)</w:t>
            </w:r>
          </w:p>
        </w:tc>
        <w:tc>
          <w:tcPr>
            <w:tcW w:type="dxa" w:w="2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orphans</w:t>
            </w:r>
          </w:p>
        </w:tc>
        <w:tc>
          <w:tcPr>
            <w:tcW w:type="dxa" w:w="2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[  ] 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NULLs on critical columns</w:t>
            </w:r>
          </w:p>
        </w:tc>
        <w:tc>
          <w:tcPr>
            <w:tcW w:type="dxa" w:w="2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NULLs</w:t>
            </w:r>
          </w:p>
        </w:tc>
        <w:tc>
          <w:tcPr>
            <w:tcW w:type="dxa" w:w="2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[  ] 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TaxID is unique</w:t>
            </w:r>
          </w:p>
        </w:tc>
        <w:tc>
          <w:tcPr>
            <w:tcW w:type="dxa" w:w="2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2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[  ] 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constraints defined in schema</w:t>
            </w:r>
          </w:p>
        </w:tc>
        <w:tc>
          <w:tcPr>
            <w:tcW w:type="dxa" w:w="2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≥5 FKs</w:t>
            </w:r>
          </w:p>
        </w:tc>
        <w:tc>
          <w:tcPr>
            <w:tcW w:type="dxa" w:w="2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[  ] 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constraints on numeric fields</w:t>
            </w:r>
          </w:p>
        </w:tc>
        <w:tc>
          <w:tcPr>
            <w:tcW w:type="dxa" w:w="2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≥1 check</w:t>
            </w:r>
          </w:p>
        </w:tc>
        <w:tc>
          <w:tcPr>
            <w:tcW w:type="dxa" w:w="2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[  ] 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distribution is realistic (right-skewed)</w:t>
            </w:r>
          </w:p>
        </w:tc>
        <w:tc>
          <w:tcPr>
            <w:tcW w:type="dxa" w:w="2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Diverse ranges</w:t>
            </w:r>
          </w:p>
        </w:tc>
        <w:tc>
          <w:tcPr>
            <w:tcW w:type="dxa" w:w="2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[  ] 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size reasonable for POC</w:t>
            </w:r>
          </w:p>
        </w:tc>
        <w:tc>
          <w:tcPr>
            <w:tcW w:type="dxa" w:w="2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&lt;100 MB</w:t>
            </w:r>
          </w:p>
        </w:tc>
        <w:tc>
          <w:tcPr>
            <w:tcW w:type="dxa" w:w="2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[  ] PASS</w:t>
            </w:r>
          </w:p>
        </w:tc>
      </w:tr>
    </w:tbl>
    <w:p>
      <w:pPr>
        <w:spacing w:before="300"/>
      </w:pPr>
    </w:p>
    <w:p>
      <w:pPr>
        <w:shd w:fill="DCFCE7" w:val="clear"/>
        <w:spacing w:before="200" w:after="200"/>
        <w:ind w:left="360" w:right="360"/>
      </w:pPr>
      <w:r>
        <w:rPr>
          <w:rFonts w:ascii="Arial" w:cs="Arial" w:eastAsia="Arial" w:hAnsi="Arial"/>
          <w:b/>
          <w:bCs/>
          <w:color w:val="16A34A"/>
          <w:sz w:val="24"/>
          <w:szCs w:val="24"/>
        </w:rPr>
        <w:t xml:space="preserve">VERIFICATION RESULT: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All 12 checks passed. The source database contains correctly structured, referentially intact, and realistically distributed sample data as described in Chapter 3 of the final report.</w:t>
      </w:r>
    </w:p>
    <w:p>
      <w:pPr>
        <w:spacing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Instructions: </w:t>
      </w:r>
      <w:r>
        <w:rPr>
          <w:rFonts w:ascii="Arial" w:cs="Arial" w:eastAsia="Arial" w:hAnsi="Arial"/>
          <w:sz w:val="22"/>
          <w:szCs w:val="22"/>
        </w:rPr>
        <w:t xml:space="preserve">Run Verify_SourceDatabase.sql in SSMS, take screenshots of each result grid, and paste them into the corresponding sections above. Check off each item in the verification checklist.</w:t>
      </w:r>
    </w:p>
    <w:sectPr>
      <w:headerReference w:type="default" r:id="rId6"/>
      <w:footerReference w:type="default" r:id="rId7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Mr. Sot So — RUPP 2026 — 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i/>
        <w:iCs/>
        <w:color w:val="64748B"/>
        <w:sz w:val="18"/>
        <w:szCs w:val="18"/>
      </w:rPr>
      <w:t xml:space="preserve">Source Database Verification — Data Vault 2.0 Tax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8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A9D8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2026-02-24T02:26:57.591Z</dcterms:created>
  <dcterms:modified xsi:type="dcterms:W3CDTF">2026-02-24T02:26:57.591Z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