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Science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8"/>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Science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Chanpiseth</w:t>
      </w:r>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lastRenderedPageBreak/>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6FFFD726" w:rsidR="0002582F" w:rsidRDefault="00584B97">
      <w:pPr>
        <w:spacing w:after="120" w:line="360" w:lineRule="auto"/>
        <w:jc w:val="both"/>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1,000 taxpayers, declarations, payments, and officer assignments serves as the source system, totaling 67 database objects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lastRenderedPageBreak/>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Science in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lastRenderedPageBreak/>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Science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Science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lastRenderedPageBreak/>
        <w:t>ACKNOWLEDGEMENT</w:t>
      </w:r>
    </w:p>
    <w:p w14:paraId="1CE00002" w14:textId="71771C20" w:rsidR="0002582F" w:rsidRDefault="00584B97">
      <w:pPr>
        <w:spacing w:after="120" w:line="360" w:lineRule="auto"/>
        <w:jc w:val="both"/>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moral support has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Mr. Ban Dy Pitou</w:t>
      </w:r>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F2CEF60" w:rsidR="0002582F" w:rsidRDefault="00584B97">
      <w:pPr>
        <w:spacing w:after="120" w:line="360" w:lineRule="auto"/>
        <w:jc w:val="both"/>
      </w:pPr>
      <w:r>
        <w:t>I am grateful to the faculty of the Master of Science in Data Science and Engineering program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Mr. Chen Phirum</w:t>
      </w:r>
      <w:r>
        <w:t xml:space="preserve"> and </w:t>
      </w:r>
      <w:r>
        <w:rPr>
          <w:b/>
          <w:bCs/>
        </w:rPr>
        <w:t>Mr. Soun Pisey</w:t>
      </w:r>
      <w:r>
        <w:t>,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To all who contributed to this journey, I extend my sincerest appreciation. This accomplishment would not have been possible without you.</w:t>
      </w:r>
    </w:p>
    <w:p w14:paraId="1CE00008" w14:textId="77777777" w:rsidR="0002582F" w:rsidRDefault="0002582F">
      <w:pPr>
        <w:sectPr w:rsidR="0002582F">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lastRenderedPageBreak/>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tab/>
        <w:t>(III)</w:t>
      </w:r>
    </w:p>
    <w:p w14:paraId="11D3BCD7" w14:textId="77777777" w:rsidR="0002582F" w:rsidRDefault="00584B97">
      <w:pPr>
        <w:tabs>
          <w:tab w:val="right" w:leader="dot" w:pos="8306"/>
        </w:tabs>
        <w:spacing w:before="60" w:after="60"/>
      </w:pPr>
      <w:r>
        <w:t>Supervisor's Research Supervision Statement</w:t>
        <w:tab/>
        <w:t>(IV)</w:t>
      </w:r>
    </w:p>
    <w:p w14:paraId="03004D04" w14:textId="77777777" w:rsidR="0002582F" w:rsidRDefault="00584B97">
      <w:pPr>
        <w:tabs>
          <w:tab w:val="right" w:leader="dot" w:pos="8306"/>
        </w:tabs>
        <w:spacing w:before="60" w:after="60"/>
      </w:pPr>
      <w:r>
        <w:t>Candidate’s Statement</w:t>
        <w:tab/>
        <w:t>(V)</w:t>
      </w:r>
    </w:p>
    <w:p w14:paraId="1CE10001" w14:textId="77777777" w:rsidR="0002582F" w:rsidRDefault="00584B97">
      <w:pPr>
        <w:tabs>
          <w:tab w:val="right" w:leader="dot" w:pos="8306"/>
        </w:tabs>
        <w:spacing w:before="60" w:after="60"/>
      </w:pPr>
      <w:r>
        <w:t>Acknowledgement</w:t>
        <w:tab/>
        <w:t>(VI)</w:t>
      </w:r>
    </w:p>
    <w:p w14:paraId="3D973BD0" w14:textId="77777777" w:rsidR="0002582F" w:rsidRDefault="00584B97">
      <w:pPr>
        <w:tabs>
          <w:tab w:val="right" w:leader="dot" w:pos="8306"/>
        </w:tabs>
        <w:spacing w:before="60" w:after="60"/>
      </w:pPr>
      <w:r>
        <w:t>Table of Contents</w:t>
        <w:tab/>
        <w:t>(VII)</w:t>
      </w:r>
    </w:p>
    <w:p w14:paraId="6DDE7E97" w14:textId="77777777" w:rsidR="0002582F" w:rsidRDefault="00584B97">
      <w:pPr>
        <w:tabs>
          <w:tab w:val="right" w:leader="dot" w:pos="8306"/>
        </w:tabs>
        <w:spacing w:before="60" w:after="60"/>
      </w:pPr>
      <w:r>
        <w:t>List of Tables</w:t>
        <w:tab/>
        <w:t>(VIII)</w:t>
      </w:r>
    </w:p>
    <w:p w14:paraId="0BAB6A82" w14:textId="77777777" w:rsidR="0002582F" w:rsidRDefault="00584B97">
      <w:pPr>
        <w:tabs>
          <w:tab w:val="right" w:leader="dot" w:pos="8306"/>
        </w:tabs>
        <w:spacing w:before="60" w:after="60"/>
      </w:pPr>
      <w:r>
        <w:t>List of Figures</w:t>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tab/>
        <w:t>(1)</w:t>
      </w:r>
    </w:p>
    <w:p w14:paraId="234D7E1F" w14:textId="77777777" w:rsidR="0002582F" w:rsidRDefault="00584B97">
      <w:pPr>
        <w:tabs>
          <w:tab w:val="right" w:leader="dot" w:pos="8306"/>
        </w:tabs>
        <w:spacing w:before="60" w:after="60"/>
        <w:ind w:left="360"/>
      </w:pPr>
      <w:r>
        <w:t>1.2 Problem Statement</w:t>
        <w:tab/>
        <w:t>(2)</w:t>
      </w:r>
    </w:p>
    <w:p w14:paraId="6EEC3EF4" w14:textId="77777777" w:rsidR="0002582F" w:rsidRDefault="00584B97">
      <w:pPr>
        <w:tabs>
          <w:tab w:val="right" w:leader="dot" w:pos="8306"/>
        </w:tabs>
        <w:spacing w:before="60" w:after="60"/>
        <w:ind w:left="360"/>
      </w:pPr>
      <w:r>
        <w:t>1.3 Aim and Objectives of the Study</w:t>
        <w:tab/>
        <w:t>(3)</w:t>
      </w:r>
    </w:p>
    <w:p w14:paraId="783812B8" w14:textId="77777777" w:rsidR="0002582F" w:rsidRDefault="00584B97">
      <w:pPr>
        <w:tabs>
          <w:tab w:val="right" w:leader="dot" w:pos="8306"/>
        </w:tabs>
        <w:spacing w:before="60" w:after="60"/>
        <w:ind w:left="360"/>
      </w:pPr>
      <w:r>
        <w:t>1.4 Research Gap and Contributions</w:t>
        <w:tab/>
        <w:t>(4)</w:t>
      </w:r>
    </w:p>
    <w:p w14:paraId="1A331542" w14:textId="77777777" w:rsidR="0002582F" w:rsidRDefault="00584B97">
      <w:pPr>
        <w:tabs>
          <w:tab w:val="right" w:leader="dot" w:pos="8306"/>
        </w:tabs>
        <w:spacing w:before="60" w:after="60"/>
        <w:ind w:left="360"/>
      </w:pPr>
      <w:r>
        <w:t>1.5 Limitation and Scope</w:t>
        <w:tab/>
        <w:t>(5)</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tab/>
        <w:t>(6)</w:t>
      </w:r>
    </w:p>
    <w:p w14:paraId="2E33AB53" w14:textId="77777777" w:rsidR="0002582F" w:rsidRDefault="00584B97">
      <w:pPr>
        <w:tabs>
          <w:tab w:val="right" w:leader="dot" w:pos="8306"/>
        </w:tabs>
        <w:spacing w:before="60" w:after="60"/>
        <w:ind w:left="360"/>
      </w:pPr>
      <w:r>
        <w:t>2.2 Medallion Architecture for Data Warehousing</w:t>
        <w:tab/>
        <w:t>(8)</w:t>
      </w:r>
    </w:p>
    <w:p w14:paraId="0F405237" w14:textId="77777777" w:rsidR="0002582F" w:rsidRDefault="00584B97">
      <w:pPr>
        <w:tabs>
          <w:tab w:val="right" w:leader="dot" w:pos="8306"/>
        </w:tabs>
        <w:spacing w:before="60" w:after="60"/>
        <w:ind w:left="360"/>
      </w:pPr>
      <w:r>
        <w:t>2.3 ETL Frameworks and Best Practices</w:t>
        <w:tab/>
        <w:t>(10)</w:t>
      </w:r>
    </w:p>
    <w:p w14:paraId="319ED143" w14:textId="77777777" w:rsidR="0002582F" w:rsidRDefault="00584B97">
      <w:pPr>
        <w:tabs>
          <w:tab w:val="right" w:leader="dot" w:pos="8306"/>
        </w:tabs>
        <w:spacing w:before="60" w:after="60"/>
        <w:ind w:left="360"/>
      </w:pPr>
      <w:r>
        <w:t>2.4 Related Work</w:t>
        <w:tab/>
        <w:t>(12)</w:t>
      </w:r>
    </w:p>
    <w:p w14:paraId="1A000030" w14:textId="77777777" w:rsidR="0002582F" w:rsidRDefault="00584B97">
      <w:pPr>
        <w:tabs>
          <w:tab w:val="right" w:leader="dot" w:pos="8306"/>
        </w:tabs>
        <w:spacing w:before="60" w:after="60"/>
        <w:ind w:left="360"/>
      </w:pPr>
      <w:r>
        <w:t>2.5 Summary and Conceptual Framework</w:t>
        <w:tab/>
        <w:t>(14)</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tab/>
        <w:t>(15)</w:t>
      </w:r>
    </w:p>
    <w:p w14:paraId="2A4C3CAC" w14:textId="77777777" w:rsidR="0002582F" w:rsidRDefault="00584B97">
      <w:pPr>
        <w:tabs>
          <w:tab w:val="right" w:leader="dot" w:pos="8306"/>
        </w:tabs>
        <w:spacing w:before="60" w:after="60"/>
        <w:ind w:left="360"/>
      </w:pPr>
      <w:r>
        <w:t>3.2 Source Database Design</w:t>
        <w:tab/>
        <w:t>(16)</w:t>
      </w:r>
    </w:p>
    <w:p w14:paraId="49C059F7" w14:textId="77777777" w:rsidR="0002582F" w:rsidRDefault="00584B97">
      <w:pPr>
        <w:tabs>
          <w:tab w:val="right" w:leader="dot" w:pos="8306"/>
        </w:tabs>
        <w:spacing w:before="60" w:after="60"/>
        <w:ind w:left="360"/>
      </w:pPr>
      <w:r>
        <w:t>3.3 ETL Control Framework</w:t>
        <w:tab/>
        <w:t>(17)</w:t>
      </w:r>
    </w:p>
    <w:p w14:paraId="73483D82" w14:textId="77777777" w:rsidR="0002582F" w:rsidRDefault="00584B97">
      <w:pPr>
        <w:tabs>
          <w:tab w:val="right" w:leader="dot" w:pos="8306"/>
        </w:tabs>
        <w:spacing w:before="60" w:after="60"/>
        <w:ind w:left="360"/>
      </w:pPr>
      <w:r>
        <w:t>3.4 Data Warehouse Layer Design</w:t>
        <w:tab/>
        <w:t>(18)</w:t>
      </w:r>
    </w:p>
    <w:p w14:paraId="356C89D5" w14:textId="77777777" w:rsidR="0002582F" w:rsidRDefault="00584B97">
      <w:pPr>
        <w:tabs>
          <w:tab w:val="right" w:leader="dot" w:pos="8306"/>
        </w:tabs>
        <w:spacing w:before="60" w:after="60"/>
        <w:ind w:left="360"/>
      </w:pPr>
      <w:r>
        <w:t>3.5 ETL Pipeline Design</w:t>
        <w:tab/>
        <w:t>(20)</w:t>
      </w:r>
    </w:p>
    <w:p w14:paraId="1FF06F8C" w14:textId="77777777" w:rsidR="0002582F" w:rsidRDefault="00584B97">
      <w:pPr>
        <w:tabs>
          <w:tab w:val="right" w:leader="dot" w:pos="8306"/>
        </w:tabs>
        <w:spacing w:before="60" w:after="60"/>
        <w:ind w:left="360"/>
      </w:pPr>
      <w:r>
        <w:t>3.6 Technology Stack</w:t>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tab/>
        <w:t>(23)</w:t>
      </w:r>
    </w:p>
    <w:p w14:paraId="66A62F0D" w14:textId="77777777" w:rsidR="0002582F" w:rsidRDefault="00584B97">
      <w:pPr>
        <w:tabs>
          <w:tab w:val="right" w:leader="dot" w:pos="8306"/>
        </w:tabs>
        <w:spacing w:before="60" w:after="60"/>
        <w:ind w:left="360"/>
      </w:pPr>
      <w:r>
        <w:t>4.2 Bronze Layer Implementation (Data Vault)</w:t>
        <w:tab/>
        <w:t>(25)</w:t>
      </w:r>
    </w:p>
    <w:p w14:paraId="10680029" w14:textId="77777777" w:rsidR="0002582F" w:rsidRDefault="00584B97">
      <w:pPr>
        <w:tabs>
          <w:tab w:val="right" w:leader="dot" w:pos="8306"/>
        </w:tabs>
        <w:spacing w:before="60" w:after="60"/>
        <w:ind w:left="360"/>
      </w:pPr>
      <w:r>
        <w:t>4.3 Silver Layer Implementation (Business Vault)</w:t>
        <w:tab/>
        <w:t>(28)</w:t>
      </w:r>
    </w:p>
    <w:p w14:paraId="00DAD0BB" w14:textId="77777777" w:rsidR="0002582F" w:rsidRDefault="00584B97">
      <w:pPr>
        <w:tabs>
          <w:tab w:val="right" w:leader="dot" w:pos="8306"/>
        </w:tabs>
        <w:spacing w:before="60" w:after="60"/>
        <w:ind w:left="360"/>
      </w:pPr>
      <w:r>
        <w:t>4.4 Gold Layer Implementation (Information Vault)</w:t>
        <w:tab/>
        <w:t>(30)</w:t>
      </w:r>
    </w:p>
    <w:p w14:paraId="6586535F" w14:textId="77777777" w:rsidR="0002582F" w:rsidRDefault="00584B97">
      <w:pPr>
        <w:tabs>
          <w:tab w:val="right" w:leader="dot" w:pos="8306"/>
        </w:tabs>
        <w:spacing w:before="60" w:after="60"/>
        <w:ind w:left="360"/>
      </w:pPr>
      <w:r>
        <w:t>4.5 Master Orchestration</w:t>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lastRenderedPageBreak/>
        <w:t>5.1 Results</w:t>
        <w:tab/>
        <w:t>(34)</w:t>
      </w:r>
    </w:p>
    <w:p w14:paraId="1DC789A4" w14:textId="77777777" w:rsidR="0002582F" w:rsidRDefault="00584B97">
      <w:pPr>
        <w:tabs>
          <w:tab w:val="right" w:leader="dot" w:pos="8306"/>
        </w:tabs>
        <w:spacing w:before="60" w:after="60"/>
        <w:ind w:left="360"/>
      </w:pPr>
      <w:r>
        <w:t>5.2 Discussion</w:t>
        <w:tab/>
        <w:t>(36)</w:t>
      </w:r>
    </w:p>
    <w:p w14:paraId="0AF822B0" w14:textId="77777777" w:rsidR="0002582F" w:rsidRDefault="00584B97">
      <w:pPr>
        <w:tabs>
          <w:tab w:val="right" w:leader="dot" w:pos="8306"/>
        </w:tabs>
        <w:spacing w:before="60" w:after="60"/>
        <w:ind w:left="720"/>
      </w:pPr>
      <w:r>
        <w:t>5.2.1 Challenge 1: Schema Rigidity</w:t>
        <w:tab/>
        <w:t>(36)</w:t>
      </w:r>
    </w:p>
    <w:p w14:paraId="6C575FB3" w14:textId="77777777" w:rsidR="0002582F" w:rsidRDefault="00584B97">
      <w:pPr>
        <w:tabs>
          <w:tab w:val="right" w:leader="dot" w:pos="8306"/>
        </w:tabs>
        <w:spacing w:before="60" w:after="60"/>
        <w:ind w:left="720"/>
      </w:pPr>
      <w:r>
        <w:t>5.2.2 Challenge 2: Historical Tracking</w:t>
        <w:tab/>
        <w:t>(37)</w:t>
      </w:r>
    </w:p>
    <w:p w14:paraId="6EFF44D8" w14:textId="77777777" w:rsidR="0002582F" w:rsidRDefault="00584B97">
      <w:pPr>
        <w:tabs>
          <w:tab w:val="right" w:leader="dot" w:pos="8306"/>
        </w:tabs>
        <w:spacing w:before="60" w:after="60"/>
        <w:ind w:left="720"/>
      </w:pPr>
      <w:r>
        <w:t>5.2.3 Challenge 3: Scalable ETL with Error Handling</w:t>
        <w:tab/>
        <w:t>(38)</w:t>
      </w:r>
    </w:p>
    <w:p w14:paraId="5201052F" w14:textId="77777777" w:rsidR="0002582F" w:rsidRDefault="00584B97">
      <w:pPr>
        <w:tabs>
          <w:tab w:val="right" w:leader="dot" w:pos="8306"/>
        </w:tabs>
        <w:spacing w:before="60" w:after="60"/>
        <w:ind w:left="720"/>
      </w:pPr>
      <w:r>
        <w:t>5.2.4 Challenge 4: Business Rules Gap</w:t>
        <w:tab/>
        <w:t>(39)</w:t>
      </w:r>
    </w:p>
    <w:p w14:paraId="0C30B983" w14:textId="77777777" w:rsidR="0002582F" w:rsidRDefault="00584B97">
      <w:pPr>
        <w:tabs>
          <w:tab w:val="right" w:leader="dot" w:pos="8306"/>
        </w:tabs>
        <w:spacing w:before="60" w:after="60"/>
        <w:ind w:left="360"/>
      </w:pPr>
      <w:r>
        <w:t>5.3 Performance Benchmarks</w:t>
        <w:tab/>
        <w:t>(41)</w:t>
      </w:r>
    </w:p>
    <w:p w14:paraId="44499D80" w14:textId="77777777" w:rsidR="0002582F" w:rsidRDefault="00584B97">
      <w:pPr>
        <w:tabs>
          <w:tab w:val="right" w:leader="dot" w:pos="8306"/>
        </w:tabs>
        <w:spacing w:before="60" w:after="60"/>
        <w:ind w:left="720"/>
      </w:pPr>
      <w:r>
        <w:t>5.3.1 Implementation and Benchmark Environment</w:t>
        <w:tab/>
        <w:t>(41)</w:t>
      </w:r>
    </w:p>
    <w:p w14:paraId="44499D79" w14:textId="77777777" w:rsidR="0002582F" w:rsidRDefault="00584B97">
      <w:pPr>
        <w:tabs>
          <w:tab w:val="right" w:leader="dot" w:pos="8306"/>
        </w:tabs>
        <w:spacing w:before="60" w:after="60"/>
        <w:ind w:left="720"/>
      </w:pPr>
      <w:r>
        <w:t>5.3.2 ETL Load Time Benchmarks</w:t>
        <w:tab/>
        <w:t>(41)</w:t>
      </w:r>
    </w:p>
    <w:p w14:paraId="572AFE5A" w14:textId="77777777" w:rsidR="0002582F" w:rsidRDefault="00584B97">
      <w:pPr>
        <w:tabs>
          <w:tab w:val="right" w:leader="dot" w:pos="8306"/>
        </w:tabs>
        <w:spacing w:before="60" w:after="60"/>
        <w:ind w:left="720"/>
      </w:pPr>
      <w:r>
        <w:t>5.3.3 Query Performance Benchmarks</w:t>
        <w:tab/>
        <w:t>(42)</w:t>
      </w:r>
    </w:p>
    <w:p w14:paraId="276CA2E8" w14:textId="77777777" w:rsidR="0002582F" w:rsidRDefault="00584B97">
      <w:pPr>
        <w:tabs>
          <w:tab w:val="right" w:leader="dot" w:pos="8306"/>
        </w:tabs>
        <w:spacing w:before="60" w:after="60"/>
        <w:ind w:left="720"/>
      </w:pPr>
      <w:r>
        <w:t>5.3.4 Scalability Analysis</w:t>
        <w:tab/>
        <w:t>(43)</w:t>
      </w:r>
    </w:p>
    <w:p w14:paraId="0E44C226" w14:textId="77777777" w:rsidR="0002582F" w:rsidRDefault="00584B97">
      <w:pPr>
        <w:tabs>
          <w:tab w:val="right" w:leader="dot" w:pos="8306"/>
        </w:tabs>
        <w:spacing w:before="60" w:after="60"/>
        <w:ind w:left="360"/>
      </w:pPr>
      <w:r>
        <w:t>5.4 Threats to Validity</w:t>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tab/>
        <w:t>(53)</w:t>
      </w:r>
    </w:p>
    <w:p w14:paraId="0DD00002" w14:textId="77777777" w:rsidR="0002582F" w:rsidRDefault="00584B97">
      <w:pPr>
        <w:tabs>
          <w:tab w:val="right" w:leader="dot" w:pos="8306"/>
        </w:tabs>
        <w:spacing w:before="40" w:after="40"/>
        <w:ind w:left="360"/>
      </w:pPr>
      <w:r>
        <w:t>Appendix B: SSIS Package Inventory</w:t>
        <w:tab/>
        <w:t>(55)</w:t>
      </w:r>
    </w:p>
    <w:p w14:paraId="76E61B66" w14:textId="77777777" w:rsidR="0002582F" w:rsidRDefault="0002582F">
      <w:pPr>
        <w:sectPr w:rsidR="0002582F">
          <w:footerReference w:type="default" r:id="rId13"/>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lastRenderedPageBreak/>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Data warehousing provides the foundation for transforming raw transactional data into structured analytical information. Traditional approaches such as the Kimball dimensional model and the Inmon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Data Vault 2.0, introduced by Dan Linstedt,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 xml:space="preserve">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w:t>
        <w:lastRenderedPageBreak/>
        <w:t>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p>
    <w:p w14:paraId="3FB13248" w14:textId="77777777" w:rsidR="00B33219" w:rsidRDefault="00B33219">
      <w:pPr>
        <w:rPr>
          <w:b/>
          <w:bCs/>
          <w:sz w:val="28"/>
          <w:szCs w:val="28"/>
        </w:rPr>
      </w:pPr>
      <w:r>
        <w:rPr>
          <w:b/>
          <w:bCs/>
          <w:sz w:val="28"/>
          <w:szCs w:val="28"/>
        </w:rPr>
        <w:br w:type="page"/>
      </w:r>
    </w:p>
    <w:p w14:paraId="43C6B251" w14:textId="5C54E3BA" w:rsidR="0002582F" w:rsidRDefault="00584B97">
      <w:pPr>
        <w:spacing w:before="360" w:after="200"/>
      </w:pPr>
      <w:r>
        <w:rPr>
          <w:b/>
          <w:bCs/>
          <w:sz w:val="28"/>
          <w:szCs w:val="28"/>
        </w:rPr>
        <w:lastRenderedPageBreak/>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rsidP="00D96036">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2E704E26" w14:textId="77777777" w:rsidR="0002582F" w:rsidRDefault="00584B97" w:rsidP="00D96036">
      <w:pPr>
        <w:pStyle w:val="ListParagraph"/>
        <w:numPr>
          <w:ilvl w:val="0"/>
          <w:numId w:val="2"/>
        </w:numPr>
        <w:spacing w:after="60" w:line="360" w:lineRule="auto"/>
        <w:jc w:val="both"/>
      </w:pPr>
      <w:r>
        <w:t>To implement a four-layer medallion architecture (Staging, Bronze, Silver, Gold) following Data Vault 2.0 methodology on Microsoft SQL Server.</w:t>
      </w:r>
    </w:p>
    <w:p w14:paraId="2572C745" w14:textId="77777777" w:rsidR="0002582F" w:rsidRDefault="00584B97" w:rsidP="00D96036">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3F537623" w14:textId="77777777" w:rsidR="0002582F" w:rsidRDefault="00584B97" w:rsidP="00D96036">
      <w:pPr>
        <w:pStyle w:val="ListParagraph"/>
        <w:numPr>
          <w:ilvl w:val="0"/>
          <w:numId w:val="2"/>
        </w:numPr>
        <w:spacing w:after="60" w:line="360" w:lineRule="auto"/>
        <w:jc w:val="both"/>
      </w:pPr>
      <w:r>
        <w:t>To implement an ETL control framework with batch logging, step tracking, error handling, and audit capabilities.</w:t>
      </w:r>
    </w:p>
    <w:p w14:paraId="7FE7EEE8" w14:textId="77777777" w:rsidR="0002582F" w:rsidRDefault="00584B97" w:rsidP="00D96036">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7FC54472" w14:textId="77777777" w:rsidR="0002582F" w:rsidRDefault="00584B97" w:rsidP="00D96036">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4DDFC785" w14:textId="77777777" w:rsidR="0002582F" w:rsidRDefault="00584B97" w:rsidP="00D96036">
      <w:pPr>
        <w:pStyle w:val="ListParagraph"/>
        <w:numPr>
          <w:ilvl w:val="0"/>
          <w:numId w:val="2"/>
        </w:numPr>
        <w:spacing w:after="60" w:line="360" w:lineRule="auto"/>
        <w:jc w:val="both"/>
      </w:pPr>
      <w:r>
        <w:t>To orchestrate the complete pipeline through SSIS master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 xml:space="preserve">Despite growing industry adoption of Data Vault 2.0, the academic literature remains limited in several respects. Yessad and Labiod [9] present a comparative theoretical study of Inmon, Kimball, and Data Vault approaches but do not include experimental performance measurements. Naamane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w:t>
        <w:lastRenderedPageBreak/>
        <w:t>[12]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0CC1E21E" w:rsidR="0002582F" w:rsidRDefault="00584B97" w:rsidP="002017B9">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2017B9">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2017B9">
      <w:pPr>
        <w:pStyle w:val="ListParagraph"/>
        <w:numPr>
          <w:ilvl w:val="0"/>
          <w:numId w:val="5"/>
        </w:numPr>
        <w:spacing w:after="60" w:line="360" w:lineRule="auto"/>
        <w:jc w:val="both"/>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1.03x–8.3x query speedup at throughput of 2,785 records per second, validating the medallion architecture’s approach of materializing a star schema Gold layer for analytical consumption.</w:t>
      </w:r>
    </w:p>
    <w:p w14:paraId="3BDC06F2" w14:textId="77777777" w:rsidR="0002582F" w:rsidRDefault="00584B97" w:rsidP="002017B9">
      <w:pPr>
        <w:pStyle w:val="ListParagraph"/>
        <w:numPr>
          <w:ilvl w:val="0"/>
          <w:numId w:val="5"/>
        </w:numPr>
        <w:spacing w:after="60" w:line="360" w:lineRule="auto"/>
        <w:jc w:val="both"/>
      </w:pPr>
      <w:r>
        <w:t xml:space="preserve">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w:t>
        <w:lastRenderedPageBreak/>
        <w:t>(compliance scoring via Business Vault). Each challenge validated with measurable before/after evidence.</w:t>
      </w:r>
    </w:p>
    <w:p w14:paraId="65CAC601" w14:textId="77777777" w:rsidR="00C60664" w:rsidRDefault="00733749" w:rsidP="002017B9">
      <w:pPr>
        <w:pStyle w:val="ListParagraph"/>
        <w:numPr>
          <w:ilvl w:val="0"/>
          <w:numId w:val="5"/>
        </w:numPr>
        <w:spacing w:after="60" w:line="360" w:lineRule="auto"/>
        <w:jc w:val="both"/>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14:paraId="2F1B11DF" w14:textId="77777777" w:rsidR="00C60664" w:rsidRDefault="00733749" w:rsidP="002017B9">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2389ECD4"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7D4F5528" w14:textId="77777777" w:rsidR="0002582F" w:rsidRDefault="00584B97" w:rsidP="0090377B">
      <w:pPr>
        <w:pStyle w:val="ListParagraph"/>
        <w:numPr>
          <w:ilvl w:val="0"/>
          <w:numId w:val="3"/>
        </w:numPr>
        <w:spacing w:after="60" w:line="360" w:lineRule="auto"/>
        <w:jc w:val="both"/>
      </w:pPr>
      <w:r>
        <w:t>Performance Scale: Performance benchmarks were conducted at proof-of-concept scale (1,000 taxpayers, ~57,000 source records). Production-scale validation with millions of taxpayers would require additional optimizations such as columnstore indexes, table partitioning, and parallel loading strategies.</w:t>
      </w:r>
    </w:p>
    <w:p w14:paraId="6782DF0F" w14:textId="77777777" w:rsidR="0002582F" w:rsidRDefault="00584B97" w:rsidP="0090377B">
      <w:pPr>
        <w:pStyle w:val="ListParagraph"/>
        <w:numPr>
          <w:ilvl w:val="0"/>
          <w:numId w:val="3"/>
        </w:numPr>
        <w:spacing w:after="60" w:line="360" w:lineRule="auto"/>
        <w:jc w:val="both"/>
      </w:pPr>
      <w:r>
        <w:lastRenderedPageBreak/>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207BC9">
      <w:pPr>
        <w:pStyle w:val="ListParagraph"/>
        <w:numPr>
          <w:ilvl w:val="0"/>
          <w:numId w:val="7"/>
        </w:numPr>
        <w:spacing w:after="60" w:line="360" w:lineRule="auto"/>
        <w:jc w:val="both"/>
      </w:pPr>
      <w:r>
        <w:t>The project covers the complete data warehouse lifecycle from source database creation through gold layer information vault.</w:t>
      </w:r>
    </w:p>
    <w:p w14:paraId="0AA2A958" w14:textId="77777777" w:rsidR="0002582F" w:rsidRDefault="00584B97" w:rsidP="00207BC9">
      <w:pPr>
        <w:pStyle w:val="ListParagraph"/>
        <w:numPr>
          <w:ilvl w:val="0"/>
          <w:numId w:val="7"/>
        </w:numPr>
        <w:spacing w:after="60" w:line="360" w:lineRule="auto"/>
        <w:jc w:val="both"/>
      </w:pPr>
      <w:r>
        <w:t>Nine source tables are processed through all four layers of the medallion architecture.</w:t>
      </w:r>
    </w:p>
    <w:p w14:paraId="1D475A81" w14:textId="77777777" w:rsidR="0002582F" w:rsidRDefault="00584B97" w:rsidP="00207BC9">
      <w:pPr>
        <w:pStyle w:val="ListParagraph"/>
        <w:numPr>
          <w:ilvl w:val="0"/>
          <w:numId w:val="7"/>
        </w:numPr>
        <w:spacing w:after="60" w:line="360" w:lineRule="auto"/>
        <w:jc w:val="both"/>
      </w:pPr>
      <w:r>
        <w:t>The Bronze layer implements 9 Hubs, 9 Satellites, and 5 Links following Data Vault 2.0 standards.</w:t>
      </w:r>
    </w:p>
    <w:p w14:paraId="5567CFEB" w14:textId="77777777" w:rsidR="0002582F" w:rsidRDefault="00584B97" w:rsidP="00207BC9">
      <w:pPr>
        <w:pStyle w:val="ListParagraph"/>
        <w:numPr>
          <w:ilvl w:val="0"/>
          <w:numId w:val="7"/>
        </w:numPr>
        <w:spacing w:after="60" w:line="360" w:lineRule="auto"/>
        <w:jc w:val="both"/>
      </w:pPr>
      <w:r>
        <w:t>The Silver layer includes 3 Point-in-Time tables, 1 Bridge table, and 2 Business Vault tables.</w:t>
      </w:r>
    </w:p>
    <w:p w14:paraId="0AA04809" w14:textId="77777777" w:rsidR="0002582F" w:rsidRDefault="00584B97" w:rsidP="00207BC9">
      <w:pPr>
        <w:pStyle w:val="ListParagraph"/>
        <w:numPr>
          <w:ilvl w:val="0"/>
          <w:numId w:val="7"/>
        </w:numPr>
        <w:spacing w:after="60" w:line="360" w:lineRule="auto"/>
        <w:jc w:val="both"/>
      </w:pPr>
      <w:r>
        <w:t>The Gold layer delivers 7 Dimensions (including SCD Type 2) and 4 Fact tables.</w:t>
      </w:r>
    </w:p>
    <w:p w14:paraId="41F836B2" w14:textId="77777777" w:rsidR="0002582F" w:rsidRDefault="00584B97" w:rsidP="00207BC9">
      <w:pPr>
        <w:pStyle w:val="ListParagraph"/>
        <w:numPr>
          <w:ilvl w:val="0"/>
          <w:numId w:val="7"/>
        </w:numPr>
        <w:spacing w:after="60" w:line="360" w:lineRule="auto"/>
        <w:jc w:val="both"/>
      </w:pPr>
      <w:r>
        <w:t>SSIS package architecture is designed for both full and incremental load orchestration.</w:t>
      </w:r>
    </w:p>
    <w:p w14:paraId="6A5711B2" w14:textId="77777777" w:rsidR="0002582F" w:rsidRDefault="0002582F">
      <w:pPr>
        <w:sectPr w:rsidR="0002582F">
          <w:footerReference w:type="default" r:id="rId14"/>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lastRenderedPageBreak/>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 xml:space="preserve">A key advantage of Data Vault 2.0 over traditional approaches is its support for parallel and agile development. Because Hubs, Links, and Satellites are independent structures, multiple development teams can work simultaneously on different parts of the data </w:t>
        <w:lastRenderedPageBreak/>
        <w:t>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and Extended Components</w:t>
      </w:r>
    </w:p>
    <w:p w14:paraId="1A000001" w14:textId="77777777" w:rsidR="0002582F" w:rsidRDefault="00584B97">
      <w:pPr>
        <w:spacing w:after="120" w:line="360" w:lineRule="auto"/>
        <w:jc w:val="both"/>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 xml:space="preserve">The Data Vault 2.0 methodology has been applied across industries including banking, insurance, healthcare, telecommunications, and government. Its emphasis on </w:t>
        <w:lastRenderedPageBreak/>
        <w:t>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6796336D" w14:textId="2262F7E9" w:rsidR="0002582F" w:rsidRDefault="00584B97" w:rsidP="001F6613">
      <w:pPr>
        <w:spacing w:before="240" w:after="120"/>
      </w:pPr>
      <w:r>
        <w:rPr>
          <w:b/>
          <w:bCs/>
        </w:rPr>
        <w:t>Layer Architecture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One table per source entity</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Hubs, Satellites,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lastRenderedPageBreak/>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PITs, Bridges, Business tables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Dimensions, Facts (Star Schema)</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7F5E4790" w14:textId="77777777" w:rsidR="005C0B23" w:rsidRDefault="005C0B23">
      <w:pPr>
        <w:rPr>
          <w:b/>
          <w:bCs/>
          <w:sz w:val="28"/>
          <w:szCs w:val="28"/>
        </w:rPr>
      </w:pPr>
    </w:p>
    <w:p w14:paraId="41F2BC5B" w14:textId="77777777" w:rsidR="00221393" w:rsidRDefault="00221393">
      <w:pPr>
        <w:rPr>
          <w:b/>
          <w:bCs/>
          <w:sz w:val="28"/>
          <w:szCs w:val="28"/>
        </w:rPr>
      </w:pPr>
      <w:r>
        <w:rPr>
          <w:b/>
          <w:bCs/>
          <w:sz w:val="28"/>
          <w:szCs w:val="28"/>
        </w:rPr>
        <w:br w:type="page"/>
      </w:r>
    </w:p>
    <w:p w14:paraId="66F7C15C" w14:textId="4E7D8F64" w:rsidR="0002582F" w:rsidRDefault="00584B97">
      <w:pPr>
        <w:spacing w:before="360" w:after="200"/>
      </w:pPr>
      <w:r>
        <w:rPr>
          <w:b/>
          <w:bCs/>
          <w:sz w:val="28"/>
          <w:szCs w:val="28"/>
        </w:rPr>
        <w:lastRenderedPageBreak/>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BatchID and LoadType) across the pipeline while maintaining clear separation between processing stages.</w:t>
      </w:r>
    </w:p>
    <w:p w14:paraId="1A000010" w14:textId="77777777" w:rsidR="0002582F" w:rsidRDefault="00584B97">
      <w:pPr>
        <w:spacing w:after="120" w:line="360" w:lineRule="auto"/>
        <w:jc w:val="both"/>
      </w:pPr>
      <w:r>
        <w:t>A significant paradigm shift in modern data engineering is the transition from traditional ETL (Extract, Transform, Load) to ELT (Extract, Load, Transform), where raw data is first loaded into the target system and transformations are applied using the processing power of the target database engine [19]. Cloud data platforms such as Snowflake, BigQuery, and Databricks Lakehouse have accelerated ELT adoption by providing scalable compute resources for in-database transformations. However, for on-premises SQL Server environments and regulated government contexts where data must be validated and transformed before entering the data warehouse, the traditional ETL approach remains appropriate [4]. This research adopts the ETL pattern using SSIS, which provides visual workflow design, package-level error handling, and native integration with SQL Server’s execution engine.</w:t>
      </w:r>
    </w:p>
    <w:p w14:paraId="1A000011" w14:textId="77777777" w:rsidR="0002582F" w:rsidRDefault="00584B97">
      <w:pPr>
        <w:spacing w:after="120" w:line="360" w:lineRule="auto"/>
        <w:jc w:val="both"/>
      </w:pPr>
      <w:r>
        <w:lastRenderedPageBreak/>
        <w:t>Two primary approaches exist for detecting changed records in source systems: Change Data Capture (CDC) and watermark-based incremental loading. CDC, supported natively by SQL Server [4], captures row-level changes (inserts, updates, deletes) through transaction log reading, providing near-real-time change detection without requiring timestamp columns in source tables. Watermark-based loading, by contrast, stores a high-water mark value (typically the maximum UpdatedDate of processed records) and filters subsequent extractions to only records modified after this watermark. While CDC offers finer granularity and lower latency, it introduces additional infrastructure complexity and transaction log overhead. Watermark-based loading is simpler to implement and maintain, making it the preferred approach for batch-oriented ETL pipelines where near-real-time processing is not required [3][19]. This research adopts watermark-based incremental loading for its simplicity, auditability, and alignment with the batch processing model of SSIS.</w:t>
      </w:r>
    </w:p>
    <w:p w14:paraId="1A000012" w14:textId="77777777" w:rsidR="0002582F" w:rsidRDefault="00584B97">
      <w:pPr>
        <w:spacing w:after="120" w:line="360" w:lineRule="auto"/>
        <w:jc w:val="both"/>
      </w:pPr>
      <w:r>
        <w:t>Idempotency is a critical property for production-grade ETL pipelines, ensuring that re-executing a pipeline step produces the same result regardless of how many times it is run [1][19]. In Data Vault 2.0, idempotency is achieved through hash-based key generation: the same business key always produces the same hash key, so re-loading a record that already exists in a Hub results in no duplicate insertion. Satellites achieve idempotency through HashDiff comparison, where only genuinely changed attribute values trigger new row insertions. This insert-only, hash-based approach eliminates the need for complex upsert logic and ensures pipeline recoverability after partial failures.</w:t>
      </w:r>
    </w:p>
    <w:p w14:paraId="22469A70" w14:textId="49CD7A77" w:rsidR="0002582F" w:rsidRDefault="00584B97" w:rsidP="001F6613">
      <w:pPr>
        <w:spacing w:before="240" w:after="120"/>
      </w:pPr>
      <w:r>
        <w:rPr>
          <w:b/>
          <w:bCs/>
        </w:rPr>
        <w:t>ETL Control Components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5759"/>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r>
              <w:t>ETL_Configuration</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Detailed error logging with severity, source, and message (SSIS OnError Event Handler with Script Task)</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r>
              <w:t>ETL_DataQualityResult</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lastRenderedPageBreak/>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4D8F5F68" w14:textId="6ADFF262" w:rsidR="005C0B23" w:rsidRDefault="00584B97">
      <w:pPr>
        <w:spacing w:after="120" w:line="360" w:lineRule="auto"/>
        <w:jc w:val="both"/>
      </w:pPr>
      <w:r>
        <w:rPr>
          <w:b/>
        </w:rPr>
        <w:t xml:space="preserve">Vines [11] </w:t>
      </w:r>
      <w:r>
        <w:t>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w:t>
        <w:lastRenderedPageBreak/>
        <w:t xml:space="preserve">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t>Weaknesses:</w:t>
      </w:r>
      <w:r>
        <w:rPr>
          <w:b/>
          <w:color w:val="C62828"/>
        </w:rPr>
        <w:t xml:space="preserve"> </w:t>
      </w:r>
      <w:r>
        <w:t>theoretical framework with no hands-on implementation; no empirical benchmarks or proof-of-concept evidence; does not test schema evolution in practice.</w:t>
      </w:r>
    </w:p>
    <w:p w14:paraId="264B5BDA" w14:textId="77777777" w:rsidR="001F6613" w:rsidRDefault="001F6613">
      <w:pPr>
        <w:rPr>
          <w:b/>
          <w:color w:val="0D1B3E"/>
          <w:sz w:val="20"/>
        </w:rPr>
      </w:pPr>
    </w:p>
    <w:p w14:paraId="40451B91" w14:textId="20D1A8F4"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sidP="00A47CC8">
            <w:pPr>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sidP="00A47CC8">
            <w:pPr>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sidP="00A47CC8">
            <w:pPr>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sidP="00A47CC8">
            <w:pPr>
              <w:jc w:val="center"/>
            </w:pPr>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r>
              <w:rPr>
                <w:sz w:val="20"/>
              </w:rPr>
              <w:t>Yessad &amp; Labiod (2016)</w:t>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r>
              <w:rPr>
                <w:sz w:val="20"/>
              </w:rPr>
              <w:t>Naamane &amp; Jovanovic (2016)</w:t>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implementation evidence; DV2 demonstrated on Cambodia tax domain</w:t>
            </w:r>
          </w:p>
        </w:tc>
      </w:tr>
    </w:tbl>
    <w:p w14:paraId="13CE4CDC" w14:textId="77777777" w:rsidR="0002582F" w:rsidRDefault="0002582F"/>
    <w:p w14:paraId="0AEEFD40" w14:textId="77777777" w:rsidR="00D20E49" w:rsidRDefault="00D20E49">
      <w:pPr>
        <w:rPr>
          <w:b/>
          <w:bCs/>
        </w:rPr>
      </w:pPr>
      <w:r>
        <w:rPr>
          <w:b/>
          <w:bCs/>
        </w:rPr>
        <w:br w:type="page"/>
      </w:r>
    </w:p>
    <w:p w14:paraId="6C67563B" w14:textId="3B56C5CC" w:rsidR="0002582F" w:rsidRDefault="00584B97">
      <w:pPr>
        <w:spacing w:before="240" w:after="120"/>
      </w:pPr>
      <w:r>
        <w:rPr>
          <w:b/>
          <w:bCs/>
        </w:rPr>
        <w:lastRenderedPageBreak/>
        <w:t>Data Warehouse Evolution and Schema Adaptation</w:t>
      </w:r>
    </w:p>
    <w:p w14:paraId="4031D050" w14:textId="37BC2A12" w:rsidR="0002582F" w:rsidRDefault="00584B97" w:rsidP="005C0B23">
      <w:pPr>
        <w:spacing w:after="120" w:line="360" w:lineRule="auto"/>
        <w:jc w:val="both"/>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7B8EDBA8" w14:textId="77777777" w:rsidR="00C60664" w:rsidRDefault="00733749">
      <w:pPr>
        <w:spacing w:before="240" w:after="120"/>
      </w:pPr>
      <w:r>
        <w:rPr>
          <w:b/>
          <w:bCs/>
        </w:rPr>
        <w:lastRenderedPageBreak/>
        <w:t>Data Management Challenges in Tax Administration</w:t>
      </w:r>
    </w:p>
    <w:p w14:paraId="328DA322" w14:textId="77777777" w:rsidR="00C60664" w:rsidRDefault="00733749">
      <w:pPr>
        <w:spacing w:after="120" w:line="360" w:lineRule="auto"/>
        <w:jc w:val="both"/>
      </w:pPr>
      <w:r>
        <w:t>Government tax administrations worldwide face growing data management challenges as digital transformation accelerates. Gandomi and Haider [28] establish a foundational framework for understanding these challenges through the five V’s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7EB826CA" w14:textId="77777777" w:rsidR="00C60664" w:rsidRDefault="00733749">
      <w:pPr>
        <w:spacing w:after="120" w:line="360" w:lineRule="auto"/>
        <w:jc w:val="both"/>
      </w:pPr>
      <w:r>
        <w:t>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3DF67FCA" w14:textId="77777777" w:rsidR="0002582F" w:rsidRDefault="00584B97">
      <w:pPr>
        <w:spacing w:before="240" w:after="120"/>
      </w:pPr>
      <w:r>
        <w:rPr>
          <w:b/>
          <w:bCs/>
        </w:rPr>
        <w:t>ETL Frameworks and Data Quality</w:t>
      </w:r>
    </w:p>
    <w:p w14:paraId="59AAB1C0" w14:textId="59722ABD" w:rsidR="005C0B23" w:rsidRPr="00063408" w:rsidRDefault="00584B97" w:rsidP="00063408">
      <w:pPr>
        <w:spacing w:after="120" w:line="360" w:lineRule="auto"/>
        <w:jc w:val="both"/>
      </w:pPr>
      <w:r>
        <w:t xml:space="preserve">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w:t>
        <w:lastRenderedPageBreak/>
        <w:t>load throughput, transformation efficiency, and pipeline cost that guide our performance evaluation methodology.</w:t>
      </w: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4ECAAE73" w14:textId="0F19522C" w:rsidR="0002582F" w:rsidRDefault="00584B97" w:rsidP="00063408">
      <w:pPr>
        <w:spacing w:before="360" w:after="200"/>
      </w:pPr>
      <w:r>
        <w:rPr>
          <w:b/>
          <w:bCs/>
          <w:sz w:val="28"/>
          <w:szCs w:val="28"/>
        </w:rPr>
        <w:t>2.5 Summary and Conceptual Framework</w:t>
      </w:r>
    </w:p>
    <w:p w14:paraId="1A000020" w14:textId="77777777" w:rsidR="0002582F" w:rsidRDefault="00584B97">
      <w:pPr>
        <w:spacing w:after="120" w:line="360" w:lineRule="auto"/>
        <w:jc w:val="both"/>
      </w:pPr>
      <w:r>
        <w:t>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1A000021" w14:textId="77777777" w:rsidR="0002582F" w:rsidRDefault="00584B97">
      <w:pPr>
        <w:spacing w:after="120" w:line="360" w:lineRule="auto"/>
        <w:jc w:val="both"/>
      </w:pPr>
      <w:r>
        <w:t xml:space="preserve">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w:t>
        <w:lastRenderedPageBreak/>
        <w:t>handling) that ensures pipeline reliability and observability. The application of this integrated framework to the Cambodia tax administration domain addresses the gap in government-specific Data Vault 2.0 implementations identified across the reviewed literature, while the inclusion of quantitative performance benchmarks addresses the empirical evidence gap noted in theoretical studies [9][12]. The following table positions this research relative to the key studies reviewed.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5"/>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lastRenderedPageBreak/>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rPr>
          <w:b/>
          <w:bCs/>
          <w:sz w:val="28"/>
          <w:szCs w:val="28"/>
        </w:rPr>
      </w:pPr>
      <w:r>
        <w:rPr>
          <w:b/>
          <w:bCs/>
          <w:sz w:val="28"/>
          <w:szCs w:val="28"/>
        </w:rPr>
        <w:t>3.1 System Architecture Overview</w:t>
      </w:r>
    </w:p>
    <w:p w14:paraId="2419ABEE" w14:textId="7E5A62B9" w:rsidR="0002582F" w:rsidRDefault="00BB5EC9" w:rsidP="00BB5EC9">
      <w:pPr>
        <w:spacing w:before="360" w:after="200"/>
      </w:pPr>
      <w:r>
        <w:rPr>
          <w:noProof/>
        </w:rPr>
        <w:drawing>
          <wp:inline distT="0" distB="0" distL="0" distR="0" wp14:anchorId="5C477506" wp14:editId="03B7CD96">
            <wp:extent cx="5274310" cy="27679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767965"/>
                    </a:xfrm>
                    <a:prstGeom prst="rect">
                      <a:avLst/>
                    </a:prstGeom>
                  </pic:spPr>
                </pic:pic>
              </a:graphicData>
            </a:graphic>
          </wp:inline>
        </w:drawing>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0B6DA262" w14:textId="4D068B42" w:rsidR="00B62C8E" w:rsidRDefault="00B62C8E" w:rsidP="00063408">
      <w:pPr>
        <w:spacing w:after="120" w:line="360" w:lineRule="auto"/>
        <w:jc w:val="both"/>
      </w:pPr>
      <w:r>
        <w:t>The complete architecture consists of six databases: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tables (3 lookup, 3 reference, 3 transaction)</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r>
              <w:lastRenderedPageBreak/>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2FE01D6F" w14:textId="77777777" w:rsidR="0002582F" w:rsidRDefault="00584B97">
      <w:pPr>
        <w:spacing w:before="240" w:after="120"/>
      </w:pPr>
      <w:r>
        <w:rPr>
          <w:b/>
          <w:bCs/>
        </w:rPr>
        <w:t>Source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rsidTr="000F38E0">
        <w:tc>
          <w:tcPr>
            <w:tcW w:w="219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5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Registered taxpayers with TaxID, business name, revenue</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r>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r>
              <w:lastRenderedPageBreak/>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rsidTr="000F38E0">
        <w:tc>
          <w:tcPr>
            <w:tcW w:w="219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0C556E8D" w14:textId="4545A749" w:rsidR="00C60664" w:rsidRDefault="009C30C7" w:rsidP="00723DC8">
      <w:pPr>
        <w:spacing w:after="120" w:line="276" w:lineRule="auto"/>
        <w:jc w:val="both"/>
        <w:rPr>
          <w:rFonts w:ascii="Arial" w:hAnsi="Arial"/>
          <w:sz w:val="22"/>
        </w:rPr>
      </w:pPr>
      <w:r>
        <w:rPr>
          <w:rFonts w:ascii="Arial" w:hAnsi="Arial"/>
          <w:sz w:val="22"/>
        </w:rPr>
        <w:t xml:space="preserve">Noted: 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logging (via Execute SQL Tasks)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t>Error Handling: Standardized error capture with SSIS OnError Event Handlers and error message logging at both batch and step levels.</w:t>
      </w:r>
    </w:p>
    <w:p w14:paraId="5083FAAA" w14:textId="77777777" w:rsidR="005C0B23" w:rsidRDefault="005C0B23">
      <w:pPr>
        <w:rPr>
          <w:b/>
          <w:bCs/>
          <w:sz w:val="28"/>
          <w:szCs w:val="28"/>
        </w:rPr>
      </w:pP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(DV_Staging)</w:t>
      </w:r>
    </w:p>
    <w:p w14:paraId="76A0DDEA" w14:textId="1D329479" w:rsidR="0002582F" w:rsidRDefault="00584B97" w:rsidP="005C0B23">
      <w:pPr>
        <w:spacing w:after="120" w:line="360" w:lineRule="auto"/>
        <w:jc w:val="both"/>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146E5258" w14:textId="77777777" w:rsidR="0002582F" w:rsidRDefault="00584B97">
      <w:pPr>
        <w:spacing w:before="240" w:after="120"/>
      </w:pPr>
      <w:r>
        <w:rPr>
          <w:b/>
          <w:bCs/>
        </w:rPr>
        <w:t>Bronze Layer (DV_Bronze) — Raw Vault (Data Vault 2.0 Core)</w:t>
      </w:r>
    </w:p>
    <w:p w14:paraId="7A81907E" w14:textId="052D2D54" w:rsidR="0002582F" w:rsidRDefault="00584B97" w:rsidP="00094930">
      <w:pPr>
        <w:spacing w:after="120" w:line="360" w:lineRule="auto"/>
        <w:jc w:val="both"/>
      </w:pPr>
      <w:r>
        <w:t>The Bronze layer implements the core of the Data Vault 2.0 methodology — the Raw Vault — with 23 objects following the standard Hub-Satellite-Link pattern: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r>
              <w:t>HUB_Taxpayer, HUB_Declaration, HUB_Payment, HUB_Officer, HUB_Owner, HUB_Category, HUB_Structure, HUB_Activity, HUB_AnnualDecl</w:t>
            </w:r>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r>
              <w:t>SAT_Taxpayer, SAT_MonthlyDecl, SAT_Payment, SAT_Officer, SAT_Owner, SAT_Category, SAT_Structure, SAT_Activity, SAT_AnnualDecl</w:t>
            </w:r>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r>
              <w:t>LNK_TaxpayerDeclaration, LNK_DeclarationPayment, LNK_TaxpayerOfficer, LNK_TaxpayerOwner, LNK_TaxpayerAnnualDecl</w:t>
            </w:r>
          </w:p>
        </w:tc>
      </w:tr>
    </w:tbl>
    <w:p w14:paraId="4A4E8226" w14:textId="77777777" w:rsidR="0002582F" w:rsidRDefault="0002582F"/>
    <w:p w14:paraId="7DE593D1" w14:textId="5A998F2E"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7E21448B" w14:textId="77777777" w:rsidR="004F46E1" w:rsidRDefault="004F46E1">
      <w:pPr>
        <w:rPr>
          <w:b/>
          <w:bCs/>
        </w:rPr>
      </w:pPr>
      <w:r>
        <w:rPr>
          <w:b/>
          <w:bCs/>
        </w:rPr>
        <w:br w:type="page"/>
      </w:r>
    </w:p>
    <w:p w14:paraId="6B64ACFD" w14:textId="7040B9B5" w:rsidR="0002582F" w:rsidRDefault="00584B97">
      <w:pPr>
        <w:spacing w:before="240" w:after="120"/>
      </w:pPr>
      <w:r>
        <w:rPr>
          <w:b/>
          <w:bCs/>
        </w:rPr>
        <w:lastRenderedPageBreak/>
        <w:t>Silver Layer (DV_Silver)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66D7A9D5" w14:textId="77777777" w:rsidR="0002582F" w:rsidRDefault="00584B97">
      <w:pPr>
        <w:spacing w:before="240" w:after="120"/>
      </w:pPr>
      <w:r>
        <w:rPr>
          <w:b/>
          <w:bCs/>
        </w:rPr>
        <w:t>Gold Layer (DV_Gold) — Information Vault (Dimensional Delivery)</w:t>
      </w:r>
    </w:p>
    <w:p w14:paraId="2E89EE30" w14:textId="3130AFF5" w:rsidR="0002582F" w:rsidRDefault="00584B97" w:rsidP="00094930">
      <w:pPr>
        <w:spacing w:after="120" w:line="360" w:lineRule="auto"/>
        <w:jc w:val="both"/>
      </w:pPr>
      <w:r>
        <w:t>The Gold layer serves as the Information Vault — the consumption-ready output of the Data Vault 2.0 pipeline — presenting data in a star schema optimized for BI reporting: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r>
              <w:t>DIM_Taxpayer (SCD2), DIM_Date, DIM_Category, DIM_Officer (SCD2), DIM_PaymentMethod, DIM_Status, DIM_Structure</w:t>
            </w:r>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r>
              <w:t>FACT_MonthlyDeclaration, FACT_Payment, FACT_MonthlySnapshot, FACT_DeclarationLifecycle</w:t>
            </w:r>
          </w:p>
        </w:tc>
      </w:tr>
    </w:tbl>
    <w:p w14:paraId="289466EB" w14:textId="77777777" w:rsidR="0002582F" w:rsidRDefault="0002582F"/>
    <w:p w14:paraId="603D1458"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51A170B3"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SSIS child packages are called sequentially within the master SSIS package.</w:t>
      </w:r>
    </w:p>
    <w:p w14:paraId="13ABAE37" w14:textId="77777777" w:rsidR="0002582F" w:rsidRDefault="00584B97">
      <w:pPr>
        <w:spacing w:before="240" w:after="120"/>
      </w:pPr>
      <w:r>
        <w:rPr>
          <w:b/>
          <w:bCs/>
        </w:rPr>
        <w:lastRenderedPageBreak/>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As discussed in Section 2.3, watermark-based loading was selected over Change Data Capture (CDC) for its simplicity, auditability, and alignment with the batch processing model. Applied at the staging layer; Bronze and higher layers inherently process only new staging records.</w:t>
      </w:r>
    </w:p>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43D6A55" w14:textId="64FE2BDA" w:rsidR="0002582F" w:rsidRDefault="00584B97" w:rsidP="00094930">
      <w:pPr>
        <w:spacing w:before="360" w:after="200"/>
      </w:pPr>
      <w:r>
        <w:rPr>
          <w:b/>
          <w:bCs/>
          <w:sz w:val="28"/>
          <w:szCs w:val="28"/>
        </w:rPr>
        <w:t>3.6 Technology Stack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6BE9C27E"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SSIS packages, Data Flow tasks, ETL logic</w:t>
            </w:r>
          </w:p>
        </w:tc>
      </w:tr>
      <w:tr w:rsidR="0002582F" w14:paraId="338BD4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lastRenderedPageBreak/>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lastRenderedPageBreak/>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5C7B4A29" w:rsidR="0002582F" w:rsidRDefault="00584B97">
      <w:pPr>
        <w:spacing w:after="120" w:line="360" w:lineRule="auto"/>
        <w:jc w:val="both"/>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49E4A6E8" w14:textId="20979CD7" w:rsidR="0002582F" w:rsidRDefault="008838C9">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787A57AA"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89F14FE" w:rsidR="0002582F" w:rsidRDefault="00584B97">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498D5038" w:rsidR="0002582F" w:rsidRDefault="00584B97">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64C022E" w:rsidR="0002582F" w:rsidRDefault="00584B97">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2D3C9454" w:rsidR="0002582F" w:rsidRDefault="00584B97">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0034FA3C" w:rsidR="0002582F" w:rsidRDefault="00584B97">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2EF04901" w:rsidR="0002582F" w:rsidRDefault="00584B97">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4B2EB417" w:rsidR="0002582F" w:rsidRDefault="00584B97">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r>
              <w:t>MonthlyDeclaration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45485C0C" w:rsidR="0002582F" w:rsidRDefault="00584B97">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r>
              <w:t>AnnualDeclaration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4DE39665" w:rsidR="0002582F" w:rsidRDefault="00584B97">
            <w:r>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952C4">
      <w:pPr>
        <w:pStyle w:val="ListParagraph"/>
        <w:numPr>
          <w:ilvl w:val="0"/>
          <w:numId w:val="12"/>
        </w:numPr>
        <w:spacing w:after="60" w:line="360" w:lineRule="auto"/>
      </w:pPr>
      <w:r>
        <w:t>Watermark-based incremental loading using ETL_Watermark table with UpdatedDate column tracking.</w:t>
      </w:r>
    </w:p>
    <w:p w14:paraId="1DE5FD8E" w14:textId="77777777" w:rsidR="0002582F" w:rsidRDefault="00584B97" w:rsidP="005952C4">
      <w:pPr>
        <w:pStyle w:val="ListParagraph"/>
        <w:numPr>
          <w:ilvl w:val="0"/>
          <w:numId w:val="12"/>
        </w:numPr>
        <w:spacing w:after="60" w:line="360" w:lineRule="auto"/>
      </w:pPr>
      <w:r>
        <w:t>Full load mode truncates target table before insert for clean state recovery.</w:t>
      </w:r>
    </w:p>
    <w:p w14:paraId="1B3CEFAE" w14:textId="77777777" w:rsidR="0002582F" w:rsidRDefault="00584B97" w:rsidP="005952C4">
      <w:pPr>
        <w:pStyle w:val="ListParagraph"/>
        <w:numPr>
          <w:ilvl w:val="0"/>
          <w:numId w:val="12"/>
        </w:numPr>
        <w:spacing w:after="60" w:line="360" w:lineRule="auto"/>
      </w:pPr>
      <w:r>
        <w:lastRenderedPageBreak/>
        <w:t>Each SSIS child package logs records processed, start/end times, and errors via usp_StartStep/usp_EndStep.</w:t>
      </w:r>
    </w:p>
    <w:p w14:paraId="0BC39771" w14:textId="77777777" w:rsidR="0002582F" w:rsidRDefault="00584B97" w:rsidP="005952C4">
      <w:pPr>
        <w:pStyle w:val="ListParagraph"/>
        <w:numPr>
          <w:ilvl w:val="0"/>
          <w:numId w:val="12"/>
        </w:numPr>
        <w:spacing w:after="60" w:line="360" w:lineRule="auto"/>
      </w:pPr>
      <w:r>
        <w:t>Metadata columns (SourceSystem NVARCHAR(50), RecordSource NVARCHAR(50), DV_LoadDateTime, DV_BatchID)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4DEE0DD6" w:rsidR="0002582F" w:rsidRDefault="00CF5F05" w:rsidP="003A1A5D">
      <w:pPr>
        <w:spacing w:after="120" w:line="360" w:lineRule="auto"/>
        <w:jc w:val="both"/>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02E6660D" w:rsidR="0002582F" w:rsidRDefault="00584B97">
      <w:pPr>
        <w:spacing w:after="120" w:line="360" w:lineRule="auto"/>
        <w:jc w:val="both"/>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1E8EB2AE" w14:textId="77777777" w:rsidR="0002582F" w:rsidRDefault="00584B97">
      <w:pPr>
        <w:spacing w:before="240" w:after="120"/>
      </w:pPr>
      <w:r>
        <w:rPr>
          <w:b/>
          <w:bCs/>
        </w:rPr>
        <w:t>Link Loading</w:t>
      </w:r>
    </w:p>
    <w:p w14:paraId="5EE6E3AD" w14:textId="358AFD44" w:rsidR="0002582F" w:rsidRDefault="00584B97" w:rsidP="003A1A5D">
      <w:pPr>
        <w:spacing w:after="120" w:line="360" w:lineRule="auto"/>
        <w:jc w:val="both"/>
      </w:pPr>
      <w:r>
        <w:t>Five Link SSIS packages capture relationships between business entities. Each Link record stores hash keys of the related Hubs along with its own composite hash key. Like Hubs, Links are insert-only and never modified.</w:t>
      </w:r>
    </w:p>
    <w:p w14:paraId="5AB958CF" w14:textId="6B6C74C9" w:rsidR="0002582F" w:rsidRDefault="00870962">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6261ED12"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6299D2C1" w:rsidR="0002582F" w:rsidRDefault="00584B97">
            <w:pPr>
              <w:jc w:val="center"/>
            </w:pPr>
            <w:r>
              <w:t>BRZ_HUB_Taxpayer.dtsx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(TaxID)</w:t>
            </w:r>
          </w:p>
        </w:tc>
      </w:tr>
      <w:tr w:rsidR="0002582F" w14:paraId="7F87E38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6908E013" w:rsidR="0002582F" w:rsidRDefault="00584B97">
            <w:pPr>
              <w:jc w:val="center"/>
            </w:pPr>
            <w:r>
              <w:t>BRZ_HUB_Declaration.dtsx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(DeclarationID)</w:t>
            </w:r>
          </w:p>
        </w:tc>
      </w:tr>
      <w:tr w:rsidR="0002582F" w14:paraId="13479D6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lastRenderedPageBreak/>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43AB6011" w:rsidR="0002582F" w:rsidRDefault="00584B97">
            <w:pPr>
              <w:jc w:val="center"/>
            </w:pPr>
            <w:r>
              <w:t>BRZ_HUB_Payment.dtsx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(PaymentID)</w:t>
            </w:r>
          </w:p>
        </w:tc>
      </w:tr>
      <w:tr w:rsidR="0002582F" w14:paraId="581B9AB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0CD49CDF" w:rsidR="0002582F" w:rsidRDefault="00584B97">
            <w:pPr>
              <w:jc w:val="center"/>
            </w:pPr>
            <w:r>
              <w:t>BRZ_HUB_Officer.dtsx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(OfficerCode)</w:t>
            </w:r>
          </w:p>
        </w:tc>
      </w:tr>
      <w:tr w:rsidR="0002582F" w14:paraId="0AB2C38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5D4EEF79" w:rsidR="0002582F" w:rsidRDefault="00584B97">
            <w:pPr>
              <w:jc w:val="center"/>
            </w:pPr>
            <w:r>
              <w:t>BRZ_HUB_Owner.dtsx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(OwnerID)</w:t>
            </w:r>
          </w:p>
        </w:tc>
      </w:tr>
      <w:tr w:rsidR="0002582F" w14:paraId="6BFA45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54272FB9" w:rsidR="0002582F" w:rsidRDefault="00584B97">
            <w:pPr>
              <w:jc w:val="center"/>
            </w:pPr>
            <w:r>
              <w:t>BRZ_HUB_Category.dtsx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(CategoryID)</w:t>
            </w:r>
          </w:p>
        </w:tc>
      </w:tr>
      <w:tr w:rsidR="0002582F" w14:paraId="72BCD69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3A672EC5" w:rsidR="0002582F" w:rsidRDefault="00584B97">
            <w:pPr>
              <w:jc w:val="center"/>
            </w:pPr>
            <w:r>
              <w:t>BRZ_HUB_Structure.dtsx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(StructureID)</w:t>
            </w:r>
          </w:p>
        </w:tc>
      </w:tr>
      <w:tr w:rsidR="0002582F" w14:paraId="43D3ABE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66B59DB4" w:rsidR="0002582F" w:rsidRDefault="00584B97">
            <w:pPr>
              <w:jc w:val="center"/>
            </w:pPr>
            <w:r>
              <w:t>BRZ_HUB_Activity.dtsx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(ActivityID)</w:t>
            </w:r>
          </w:p>
        </w:tc>
      </w:tr>
      <w:tr w:rsidR="0002582F" w14:paraId="0667270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CB1ABE"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DAF48" w14:textId="77777777" w:rsidR="0002582F" w:rsidRDefault="00584B97">
            <w:pPr>
              <w:jc w:val="center"/>
            </w:pPr>
            <w:r>
              <w:t>BRZ_HUB_AnnualDecl.dtsx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CA4934" w14:textId="77777777" w:rsidR="0002582F" w:rsidRDefault="00584B97">
            <w:pPr>
              <w:jc w:val="center"/>
            </w:pPr>
            <w:r>
              <w:t>Load annual declaration business keys (AnnualDeclarationID)</w:t>
            </w:r>
          </w:p>
        </w:tc>
      </w:tr>
      <w:tr w:rsidR="0002582F" w14:paraId="16924D4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4D4F6811" w:rsidR="0002582F" w:rsidRDefault="00584B97">
            <w:pPr>
              <w:jc w:val="center"/>
            </w:pPr>
            <w:r>
              <w:t>BRZ_SAT_Taxpayer.dtsx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30B3C17C" w:rsidR="0002582F" w:rsidRDefault="00584B97">
            <w:pPr>
              <w:jc w:val="center"/>
            </w:pPr>
            <w:r>
              <w:t>BRZ_SAT_MonthlyDecl.dtsx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1F8D28EA" w:rsidR="0002582F" w:rsidRDefault="00584B97">
            <w:pPr>
              <w:jc w:val="center"/>
            </w:pPr>
            <w:r>
              <w:t>BRZ_SAT_Payment.dtsx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B4B37AF" w:rsidR="0002582F" w:rsidRDefault="00584B97">
            <w:pPr>
              <w:jc w:val="center"/>
            </w:pPr>
            <w:r>
              <w:t>BRZ_SAT_Officer.dtsx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1C730235" w:rsidR="0002582F" w:rsidRDefault="00584B97">
            <w:pPr>
              <w:jc w:val="center"/>
            </w:pPr>
            <w:r>
              <w:t>BRZ_SAT_Owner.dtsx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1817D2C6" w:rsidR="0002582F" w:rsidRDefault="00584B97">
            <w:pPr>
              <w:jc w:val="center"/>
            </w:pPr>
            <w:r>
              <w:t>BRZ_SAT_Category.dtsx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6D5AD537" w:rsidR="0002582F" w:rsidRDefault="00584B97">
            <w:pPr>
              <w:jc w:val="center"/>
            </w:pPr>
            <w:r>
              <w:t>BRZ_SAT_Structure.dtsx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3B5D8F57" w:rsidR="0002582F" w:rsidRDefault="00584B97">
            <w:pPr>
              <w:jc w:val="center"/>
            </w:pPr>
            <w:r>
              <w:t>BRZ_SAT_Activity.dtsx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0A99541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514143"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17BA2" w14:textId="77777777" w:rsidR="0002582F" w:rsidRDefault="00584B97">
            <w:pPr>
              <w:jc w:val="center"/>
            </w:pPr>
            <w:r>
              <w:t>BRZ_SAT_AnnualDecl.dtsx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30DCF4" w14:textId="77777777" w:rsidR="0002582F" w:rsidRDefault="00584B97">
            <w:pPr>
              <w:jc w:val="center"/>
            </w:pPr>
            <w:r>
              <w:t>Track annual declaration attribute changes</w:t>
            </w:r>
          </w:p>
        </w:tc>
      </w:tr>
      <w:tr w:rsidR="0002582F" w14:paraId="2B5C7D2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677D99EB" w:rsidR="0002582F" w:rsidRDefault="00584B97">
            <w:pPr>
              <w:jc w:val="center"/>
            </w:pPr>
            <w:r>
              <w:t>BRZ_LNK_TaxpayerDeclaration.dtsx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6578B7F9" w:rsidR="0002582F" w:rsidRDefault="00584B97">
            <w:pPr>
              <w:jc w:val="center"/>
            </w:pPr>
            <w:r>
              <w:t>BRZ_LNK_DeclarationPayment.dtsx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60F6FBF2" w:rsidR="0002582F" w:rsidRDefault="00584B97">
            <w:pPr>
              <w:jc w:val="center"/>
            </w:pPr>
            <w:r>
              <w:t>BRZ_LNK_TaxpayerOfficer.dtsx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16078CCE" w:rsidR="0002582F" w:rsidRDefault="00584B97">
            <w:pPr>
              <w:jc w:val="center"/>
            </w:pPr>
            <w:r>
              <w:t>BRZ_LNK_TaxpayerAnnualDecl.dtsx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Taxpayer-AnnualDeclaration relationship</w:t>
            </w:r>
          </w:p>
        </w:tc>
      </w:tr>
      <w:tr w:rsidR="0002582F" w14:paraId="5F2E3F5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05D5533B" w:rsidR="0002582F" w:rsidRDefault="00584B97">
            <w:pPr>
              <w:jc w:val="center"/>
            </w:pPr>
            <w:r>
              <w:t>BRZ_LNK_TaxpayerOwner.dtsx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p>
    <w:p w14:paraId="249D254F" w14:textId="77777777" w:rsidR="00D37997" w:rsidRDefault="00D37997">
      <w:pPr>
        <w:rPr>
          <w:b/>
          <w:bCs/>
          <w:sz w:val="28"/>
          <w:szCs w:val="28"/>
        </w:rPr>
      </w:pPr>
      <w:r>
        <w:rPr>
          <w:b/>
          <w:bCs/>
          <w:sz w:val="28"/>
          <w:szCs w:val="28"/>
        </w:rPr>
        <w:br w:type="page"/>
      </w:r>
    </w:p>
    <w:p w14:paraId="0C40CCE4" w14:textId="63E6B43B" w:rsidR="0002582F" w:rsidRDefault="00584B97">
      <w:pPr>
        <w:spacing w:before="360" w:after="200"/>
      </w:pPr>
      <w:r>
        <w:rPr>
          <w:b/>
          <w:bCs/>
          <w:sz w:val="28"/>
          <w:szCs w:val="28"/>
        </w:rPr>
        <w:lastRenderedPageBreak/>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5DE9D5F2" w14:textId="2460366E" w:rsidR="0002582F" w:rsidRDefault="003E0F63">
      <w:pPr>
        <w:spacing w:before="240" w:after="120"/>
      </w:pPr>
      <w:r>
        <w:rPr>
          <w:b/>
          <w:bCs/>
        </w:rPr>
        <w:t>SSIS Packages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r>
              <w:t>SLV_PIT_Taxpayer.dtsx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r>
              <w:t>SLV_PIT_Declaration.dtsx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r>
              <w:t>SLV_PIT_Payment.dtsx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r>
              <w:t>SLV_BRG_Taxpayer_Owner.dtsx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r>
              <w:t>SLV_BUS_ComplianceScore.dtsx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r>
              <w:t>SLV_BUS_MonthlyMetrics.dtsx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script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0ED97DEB" w14:textId="4A26BACD" w:rsidR="0002582F" w:rsidRDefault="00584B97" w:rsidP="0078311C">
      <w:pPr>
        <w:spacing w:before="240" w:after="120"/>
      </w:pPr>
      <w:r>
        <w:rPr>
          <w:b/>
          <w:bCs/>
        </w:rP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2705"/>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r>
              <w:t>GLD_DIM_Category.dtsx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r>
              <w:t>GLD_DIM_PaymentMethod.dtsx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r>
              <w:t>GLD_DIM_Activity.dtsx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r>
              <w:t>GLD_DIM_Structure.dtsx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r>
              <w:t>GLD_DIM_Status.dtsx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r>
              <w:t>GLD_FACT_MonthlyDeclaration.dtsx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lastRenderedPageBreak/>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r>
              <w:t>GLD_FACT_Payment.dtsx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r>
              <w:t>GLD_FACT_MonthlySnapshot.dtsx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r>
              <w:t>GLD_FACT_DeclarationLifecycle.dtsx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The master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5B0638DB" w14:textId="77777777" w:rsidR="0002582F" w:rsidRDefault="00584B97" w:rsidP="005A3E79">
      <w:pPr>
        <w:pStyle w:val="ListParagraph"/>
        <w:numPr>
          <w:ilvl w:val="0"/>
          <w:numId w:val="13"/>
        </w:numPr>
        <w:spacing w:after="60" w:line="360" w:lineRule="auto"/>
        <w:jc w:val="both"/>
      </w:pPr>
      <w:r>
        <w:t>Layer 1 - Staging: Load 9 staging tables (lookup tables first, then core, then transactions)</w:t>
      </w:r>
    </w:p>
    <w:p w14:paraId="18C0074C" w14:textId="77777777" w:rsidR="0002582F" w:rsidRDefault="00584B97" w:rsidP="005A3E79">
      <w:pPr>
        <w:pStyle w:val="ListParagraph"/>
        <w:numPr>
          <w:ilvl w:val="0"/>
          <w:numId w:val="13"/>
        </w:numPr>
        <w:spacing w:after="60" w:line="360" w:lineRule="auto"/>
        <w:jc w:val="both"/>
      </w:pPr>
      <w:r>
        <w:t>Layer 2 - Bronze: Load 9 Hubs, then 5 Links, then 9 Satellites</w:t>
      </w:r>
    </w:p>
    <w:p w14:paraId="19E4AB01"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74810845" w14:textId="77777777" w:rsidR="0002582F" w:rsidRDefault="00584B97" w:rsidP="005A3E79">
      <w:pPr>
        <w:pStyle w:val="ListParagraph"/>
        <w:numPr>
          <w:ilvl w:val="0"/>
          <w:numId w:val="13"/>
        </w:numPr>
        <w:spacing w:after="60" w:line="360" w:lineRule="auto"/>
        <w:jc w:val="both"/>
      </w:pPr>
      <w:r>
        <w:t>Layer 4 - Gold: Load 7 Dimensions, then 4 Facts</w:t>
      </w:r>
    </w:p>
    <w:p w14:paraId="15274724" w14:textId="77777777" w:rsidR="0002582F" w:rsidRDefault="00584B97" w:rsidP="005A3E79">
      <w:pPr>
        <w:pStyle w:val="ListParagraph"/>
        <w:numPr>
          <w:ilvl w:val="0"/>
          <w:numId w:val="13"/>
        </w:numPr>
        <w:spacing w:after="60" w:line="360" w:lineRule="auto"/>
        <w:jc w:val="both"/>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w:t>
        <w:lastRenderedPageBreak/>
        <w:t>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6AEC0EC6" w14:textId="77777777" w:rsidR="0002582F" w:rsidRDefault="0002582F">
      <w:pPr>
        <w:sectPr w:rsidR="0002582F">
          <w:footerReference w:type="default" r:id="rId18"/>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lastRenderedPageBreak/>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7F4CA93F" w14:textId="0CA833FE" w:rsidR="0002582F" w:rsidRDefault="00584B97" w:rsidP="00DE3100">
      <w:pPr>
        <w:spacing w:before="240" w:after="120"/>
      </w:pPr>
      <w:r>
        <w:rPr>
          <w:b/>
          <w:bCs/>
        </w:rP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9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23 + 3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6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11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4A370040" w14:textId="7223E07A" w:rsidR="0002582F" w:rsidRDefault="00584B97" w:rsidP="00074B5D">
      <w:pPr>
        <w:spacing w:before="240" w:after="120"/>
      </w:pPr>
      <w:r>
        <w:rPr>
          <w:b/>
          <w:bCs/>
        </w:rP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6A4F54D5" w14:textId="5CCFDC0F" w:rsidR="0002582F" w:rsidRDefault="00584B97" w:rsidP="00465E10">
      <w:pPr>
        <w:spacing w:before="240" w:after="120"/>
      </w:pPr>
      <w:r>
        <w:rPr>
          <w:b/>
          <w:bCs/>
        </w:rPr>
        <w:t>Architecture Object Count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lastRenderedPageBreak/>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3</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60</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67</w:t>
            </w:r>
          </w:p>
        </w:tc>
      </w:tr>
    </w:tbl>
    <w:p w14:paraId="0E9D9462" w14:textId="77777777" w:rsidR="0002582F" w:rsidRDefault="00584B97">
      <w:pPr>
        <w:spacing w:before="360" w:after="200"/>
      </w:pPr>
      <w:r>
        <w:rPr>
          <w:b/>
          <w:bCs/>
          <w:sz w:val="28"/>
          <w:szCs w:val="28"/>
        </w:rPr>
        <w:t>5.2 Discussion</w:t>
      </w:r>
    </w:p>
    <w:p w14:paraId="3F590B75" w14:textId="1EF413E2" w:rsidR="0002582F" w:rsidRDefault="00584B97" w:rsidP="00102D9D">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the actual implementation is demonstrated with SQL code snippets, database object details, and simulated query results.</w:t>
      </w:r>
    </w:p>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1D4306AB" w14:textId="77777777" w:rsidR="0002582F" w:rsidRDefault="0002582F">
      <w:pPr>
        <w:spacing w:before="120"/>
        <w:jc w:val="center"/>
      </w:pPr>
    </w:p>
    <w:p w14:paraId="2F637F47" w14:textId="77777777" w:rsidR="0002582F" w:rsidRDefault="00584B97">
      <w:pPr>
        <w:spacing w:before="100" w:after="200"/>
        <w:jc w:val="center"/>
      </w:pPr>
      <w:r>
        <w:rPr>
          <w:b/>
          <w:bCs/>
        </w:rPr>
        <w:lastRenderedPageBreak/>
        <w:t xml:space="preserve">Figure 5.1: </w:t>
      </w:r>
      <w:r>
        <w:t>POC — Schema Flexibility via Hub-Satellite Separation</w:t>
      </w:r>
    </w:p>
    <w:p w14:paraId="41B1C1D1" w14:textId="77777777" w:rsidR="0002582F" w:rsidRDefault="00584B97">
      <w:pPr>
        <w:spacing w:after="120"/>
        <w:jc w:val="center"/>
      </w:pPr>
      <w:r>
        <w:drawing>
          <wp:inline distT="0" distB="0" distL="0" distR="0">
            <wp:extent cx="5270000" cy="3707821"/>
            <wp:docPr id="20" name="Figure 5.1"/>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30"/>
                    <a:stretch>
                      <a:fillRect/>
                    </a:stretch>
                  </pic:blipFill>
                  <pic:spPr>
                    <a:xfrm>
                      <a:off x="0" y="0"/>
                      <a:ext cx="5270000" cy="2682909"/>
                    </a:xfrm>
                    <a:prstGeom prst="rect">
                      <a:avLst/>
                    </a:prstGeom>
                  </pic:spPr>
                </pic:pic>
              </a:graphicData>
            </a:graphic>
          </wp:inline>
        </w:drawing>
      </w:r>
    </w:p>
    <w:p w14:paraId="55437064" w14:textId="59D99F2A" w:rsidR="0002582F" w:rsidRDefault="00584B97" w:rsidP="00744C22">
      <w:pPr>
        <w:spacing w:after="120" w:line="360" w:lineRule="auto"/>
        <w:jc w:val="both"/>
      </w:pPr>
      <w:r>
        <w:t>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Gold layer procedures that consume it require updating, while all other objects remain unchanged. This proves that the hub-satellite separation pattern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02582F">
      <w:pPr>
        <w:spacing w:before="120"/>
        <w:jc w:val="center"/>
      </w:pPr>
    </w:p>
    <w:p w14:paraId="52EF49BB" w14:textId="77777777" w:rsidR="0002582F" w:rsidRDefault="00584B97">
      <w:pPr>
        <w:spacing w:before="100" w:after="200"/>
        <w:jc w:val="center"/>
      </w:pPr>
      <w:r>
        <w:rPr>
          <w:b/>
          <w:bCs/>
        </w:rPr>
        <w:t xml:space="preserve">Figure 5.2: </w:t>
      </w:r>
      <w:r>
        <w:t>POC — Full Historical Tracking via Insert-Only Satellite Pattern</w:t>
      </w:r>
    </w:p>
    <w:p w14:paraId="42B2C2D2" w14:textId="77777777" w:rsidR="0002582F" w:rsidRDefault="00584B97">
      <w:pPr>
        <w:spacing w:after="120"/>
        <w:jc w:val="center"/>
      </w:pPr>
      <w:r>
        <w:drawing>
          <wp:inline distT="0" distB="0" distL="0" distR="0">
            <wp:extent cx="5270000" cy="2804392"/>
            <wp:docPr id="21" name="Figure 5.2"/>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31"/>
                    <a:stretch>
                      <a:fillRect/>
                    </a:stretch>
                  </pic:blipFill>
                  <pic:spPr>
                    <a:xfrm>
                      <a:off x="0" y="0"/>
                      <a:ext cx="5270000" cy="2539181"/>
                    </a:xfrm>
                    <a:prstGeom prst="rect">
                      <a:avLst/>
                    </a:prstGeom>
                  </pic:spPr>
                </pic:pic>
              </a:graphicData>
            </a:graphic>
          </wp:inline>
        </w:drawing>
      </w:r>
    </w:p>
    <w:p w14:paraId="40EC654C" w14:textId="77777777" w:rsidR="0002582F" w:rsidRDefault="00584B97">
      <w:pPr>
        <w:spacing w:after="120" w:line="360" w:lineRule="auto"/>
        <w:jc w:val="both"/>
      </w:pPr>
      <w:r>
        <w:t>The figure shows the actual Bronze layer stored procedure logic for HashDiff-based change detection using HASHBYTES(‘SHA2_256’). When a taxpayer’s revenue changes three times (200,000 → 350,000 → 505,000), the insert-only Satellite preserves all three 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t xml:space="preserve">The third challenge described how manual ETL scripts lack proper error handling, logging, and recovery mechanisms [19]. When failures occur partway through </w:t>
        <w:lastRenderedPageBreak/>
        <w:t>execution, there is no systematic way to determine what succeeded, what failed, or how to recover.</w:t>
      </w:r>
    </w:p>
    <w:p w14:paraId="780421ED" w14:textId="77777777" w:rsidR="0002582F" w:rsidRDefault="00584B97">
      <w:pPr>
        <w:spacing w:after="120" w:line="360" w:lineRule="auto"/>
        <w:jc w:val="both"/>
      </w:pPr>
      <w:r>
        <w:t>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02582F">
      <w:pPr>
        <w:spacing w:before="120"/>
        <w:jc w:val="center"/>
      </w:pPr>
    </w:p>
    <w:p w14:paraId="46DE25FB" w14:textId="77777777" w:rsidR="0002582F" w:rsidRDefault="00584B97">
      <w:pPr>
        <w:spacing w:before="100" w:after="200"/>
        <w:jc w:val="center"/>
      </w:pPr>
      <w:r>
        <w:rPr>
          <w:b/>
          <w:bCs/>
        </w:rPr>
        <w:t xml:space="preserve">Figure 5.3: </w:t>
      </w:r>
      <w:r>
        <w:t>POC — ETL Control Framework with Step-Level Logging and Error Recovery</w:t>
      </w:r>
    </w:p>
    <w:p w14:paraId="43B3C3D3" w14:textId="77777777" w:rsidR="0002582F" w:rsidRDefault="00584B97">
      <w:pPr>
        <w:spacing w:after="120"/>
        <w:jc w:val="center"/>
      </w:pPr>
      <w:r>
        <w:drawing>
          <wp:inline distT="0" distB="0" distL="0" distR="0">
            <wp:extent cx="5270000" cy="2766750"/>
            <wp:docPr id="22" name="Figure 5.3"/>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32"/>
                    <a:stretch>
                      <a:fillRect/>
                    </a:stretch>
                  </pic:blipFill>
                  <pic:spPr>
                    <a:xfrm>
                      <a:off x="0" y="0"/>
                      <a:ext cx="5270000" cy="2874545"/>
                    </a:xfrm>
                    <a:prstGeom prst="rect">
                      <a:avLst/>
                    </a:prstGeom>
                  </pic:spPr>
                </pic:pic>
              </a:graphicData>
            </a:graphic>
          </wp:inline>
        </w:drawing>
      </w:r>
    </w:p>
    <w:p w14:paraId="5363E76C" w14:textId="77777777" w:rsidR="0002582F" w:rsidRDefault="00584B97">
      <w:pPr>
        <w:spacing w:after="120" w:line="360" w:lineRule="auto"/>
        <w:jc w:val="both"/>
      </w:pPr>
      <w:r>
        <w:t>The figure shows the actual ETL_BatchLog, ETL_StepLog, and ETL_ErrorLog output from the implemented framework. When Load_STG_Payment fails with a timeout error, the remaining steps (Load_STG_MonthlyDecl, Load_STG_AnnualDecl, Load_STG_Officer, Load_STG_Owner) continue processing successfully — 7 of 8 steps completed, processing 45,065 rows across successful steps. The SSIS OnError Event Handler captures the error via System::ErrorDescription and logs it to ETL_ErrorLog with the precise timestamp and source details. The administrator can immediately identify the failed step and re-execute only Load_STG_Payment without re-running the entire pipeline.</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02582F">
      <w:pPr>
        <w:spacing w:before="120"/>
        <w:jc w:val="center"/>
      </w:pPr>
    </w:p>
    <w:p w14:paraId="14851268" w14:textId="77777777" w:rsidR="0002582F" w:rsidRDefault="00584B97">
      <w:pPr>
        <w:spacing w:before="100" w:after="200"/>
        <w:jc w:val="center"/>
      </w:pPr>
      <w:r>
        <w:rPr>
          <w:b/>
          <w:bCs/>
        </w:rPr>
        <w:t xml:space="preserve">Figure 5.4: </w:t>
      </w:r>
      <w:r>
        <w:t>POC — Business Rules Applied via Silver (Business Vault) + Gold (Star Schema)</w:t>
      </w:r>
    </w:p>
    <w:p w14:paraId="44B4C4D4" w14:textId="77777777" w:rsidR="0002582F" w:rsidRDefault="00584B97">
      <w:pPr>
        <w:spacing w:after="120"/>
        <w:jc w:val="center"/>
      </w:pPr>
      <w:r>
        <w:drawing>
          <wp:inline distT="0" distB="0" distL="0" distR="0">
            <wp:extent cx="5270000" cy="3105535"/>
            <wp:docPr id="23" name="Figure 5.4"/>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33"/>
                    <a:stretch>
                      <a:fillRect/>
                    </a:stretch>
                  </pic:blipFill>
                  <pic:spPr>
                    <a:xfrm>
                      <a:off x="0" y="0"/>
                      <a:ext cx="5270000" cy="2946409"/>
                    </a:xfrm>
                    <a:prstGeom prst="rect">
                      <a:avLst/>
                    </a:prstGeom>
                  </pic:spPr>
                </pic:pic>
              </a:graphicData>
            </a:graphic>
          </wp:inline>
        </w:drawing>
      </w:r>
    </w:p>
    <w:p w14:paraId="501FE218" w14:textId="06CED2DB" w:rsidR="0002582F" w:rsidRDefault="00584B97">
      <w:pPr>
        <w:spacing w:after="120" w:line="360" w:lineRule="auto"/>
        <w:jc w:val="both"/>
      </w:pPr>
      <w:r>
        <w:lastRenderedPageBreak/>
        <w:t>The figure demonstrates the actual Silver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Bronze tables.</w:t>
      </w:r>
    </w:p>
    <w:p w14:paraId="0843F41E" w14:textId="17C52E36" w:rsidR="0002582F" w:rsidRDefault="00584B97" w:rsidP="006C59DF">
      <w:pPr>
        <w:spacing w:before="240" w:after="120"/>
      </w:pPr>
      <w:r>
        <w:rPr>
          <w:b/>
          <w:bCs/>
        </w:rPr>
        <w:t>Summary of POC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Problem</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impacts multiple objects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Overwrite patterns lose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or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with no derived analytics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A679DE">
      <w:pPr>
        <w:pStyle w:val="ListParagraph"/>
        <w:numPr>
          <w:ilvl w:val="0"/>
          <w:numId w:val="14"/>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A679DE">
      <w:pPr>
        <w:pStyle w:val="ListParagraph"/>
        <w:numPr>
          <w:ilvl w:val="0"/>
          <w:numId w:val="14"/>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76387829" w14:textId="77777777" w:rsidR="0002582F" w:rsidRDefault="00584B97" w:rsidP="00A679DE">
      <w:pPr>
        <w:pStyle w:val="ListParagraph"/>
        <w:numPr>
          <w:ilvl w:val="0"/>
          <w:numId w:val="14"/>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A679DE">
      <w:pPr>
        <w:pStyle w:val="ListParagraph"/>
        <w:numPr>
          <w:ilvl w:val="0"/>
          <w:numId w:val="14"/>
        </w:numPr>
        <w:spacing w:after="60" w:line="360" w:lineRule="auto"/>
      </w:pPr>
      <w:r>
        <w:lastRenderedPageBreak/>
        <w:t>Incremental Loading: The watermark-based approach successfully loaded only changed records, significantly reducing processing time for subsequent runs after the initial full load.</w:t>
      </w:r>
    </w:p>
    <w:p w14:paraId="54938CB1" w14:textId="77777777" w:rsidR="0002582F" w:rsidRDefault="00584B97" w:rsidP="00A679DE">
      <w:pPr>
        <w:pStyle w:val="ListParagraph"/>
        <w:numPr>
          <w:ilvl w:val="0"/>
          <w:numId w:val="14"/>
        </w:numPr>
        <w:spacing w:after="60" w:line="360" w:lineRule="auto"/>
      </w:pPr>
      <w:r>
        <w:t>Error Isolation: The per-package OnError Event Handler pattern in the SSIS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6C59DF">
      <w:pPr>
        <w:pStyle w:val="ListParagraph"/>
        <w:numPr>
          <w:ilvl w:val="0"/>
          <w:numId w:val="15"/>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6C59DF">
      <w:pPr>
        <w:pStyle w:val="ListParagraph"/>
        <w:numPr>
          <w:ilvl w:val="0"/>
          <w:numId w:val="15"/>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6C59DF">
      <w:pPr>
        <w:pStyle w:val="ListParagraph"/>
        <w:numPr>
          <w:ilvl w:val="0"/>
          <w:numId w:val="15"/>
        </w:numPr>
        <w:spacing w:after="60" w:line="360" w:lineRule="auto"/>
      </w:pPr>
      <w:r>
        <w:t>No Cross-Source Integration: The architecture was designed for a single source system. Multi-source integration would require additional Same-As Links and Multi-Active Satellites [1][6].</w:t>
      </w:r>
    </w:p>
    <w:p w14:paraId="24CDE399" w14:textId="0BDAC4CC" w:rsidR="0002582F" w:rsidRDefault="00584B97" w:rsidP="006C59DF">
      <w:pPr>
        <w:pStyle w:val="ListParagraph"/>
        <w:numPr>
          <w:ilvl w:val="0"/>
          <w:numId w:val="15"/>
        </w:numPr>
        <w:spacing w:after="60" w:line="360" w:lineRule="auto"/>
      </w:pPr>
      <w:r>
        <w:t>Performance at Scale: The system was not load-tested with production-scale data volumes. Performance optimizations such as partition switching, column store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6C59DF">
      <w:pPr>
        <w:pStyle w:val="ListParagraph"/>
        <w:numPr>
          <w:ilvl w:val="0"/>
          <w:numId w:val="16"/>
        </w:numPr>
        <w:spacing w:after="60" w:line="360" w:lineRule="auto"/>
      </w:pPr>
      <w:r>
        <w:t>Always implement ETL control frameworks with batch/step logging before building data loading SSIS packages [4][19].</w:t>
      </w:r>
    </w:p>
    <w:p w14:paraId="0633947D" w14:textId="77777777" w:rsidR="0002582F" w:rsidRDefault="00584B97" w:rsidP="006C59DF">
      <w:pPr>
        <w:pStyle w:val="ListParagraph"/>
        <w:numPr>
          <w:ilvl w:val="0"/>
          <w:numId w:val="16"/>
        </w:numPr>
        <w:spacing w:after="60" w:line="360" w:lineRule="auto"/>
      </w:pPr>
      <w:r>
        <w:t>Use hash keys consistently across all layers to maintain traceability from Gold back to Bronze [1][8].</w:t>
      </w:r>
    </w:p>
    <w:p w14:paraId="03D42A0C" w14:textId="77777777" w:rsidR="0002582F" w:rsidRDefault="00584B97" w:rsidP="006C59DF">
      <w:pPr>
        <w:pStyle w:val="ListParagraph"/>
        <w:numPr>
          <w:ilvl w:val="0"/>
          <w:numId w:val="16"/>
        </w:numPr>
        <w:spacing w:after="60" w:line="360" w:lineRule="auto"/>
      </w:pPr>
      <w:r>
        <w:t>Design staging SSIS packages to support both full and incremental loading from the start.</w:t>
      </w:r>
    </w:p>
    <w:p w14:paraId="7D5DCF65" w14:textId="77777777" w:rsidR="0002582F" w:rsidRDefault="00584B97" w:rsidP="006C59DF">
      <w:pPr>
        <w:pStyle w:val="ListParagraph"/>
        <w:numPr>
          <w:ilvl w:val="0"/>
          <w:numId w:val="16"/>
        </w:numPr>
        <w:spacing w:after="60" w:line="360" w:lineRule="auto"/>
      </w:pPr>
      <w:r>
        <w:t>Implement master orchestration with individual error handling per step rather than failing the entire pipeline on the first error [4].</w:t>
      </w:r>
    </w:p>
    <w:p w14:paraId="12EA4902" w14:textId="77777777" w:rsidR="0002582F" w:rsidRDefault="00584B97" w:rsidP="006C59DF">
      <w:pPr>
        <w:pStyle w:val="ListParagraph"/>
        <w:numPr>
          <w:ilvl w:val="0"/>
          <w:numId w:val="16"/>
        </w:numPr>
        <w:spacing w:after="60" w:line="360" w:lineRule="auto"/>
      </w:pPr>
      <w:r>
        <w:lastRenderedPageBreak/>
        <w:t>Separate database instances per layer to enable independent backup, restore, and security policies.</w:t>
      </w: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t>5.3.1 Implementation and Benchmark Environment</w:t>
      </w:r>
    </w:p>
    <w:p w14:paraId="0A6624D1" w14:textId="77777777" w:rsidR="00260556" w:rsidRDefault="00260556" w:rsidP="00260556">
      <w:pPr>
        <w:spacing w:after="120" w:line="360" w:lineRule="auto"/>
        <w:jc w:val="both"/>
      </w:pPr>
    </w:p>
    <w:p w14:paraId="4E09F282" w14:textId="0E96DEF1" w:rsidR="00352388" w:rsidRDefault="00584B97" w:rsidP="000B0561">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2E8C34AB" w14:textId="77777777" w:rsidR="0002582F" w:rsidRDefault="00584B97">
      <w:r>
        <w:rPr>
          <w:b/>
          <w:color w:val="0D1B3E"/>
          <w:sz w:val="20"/>
        </w:rPr>
        <w:t xml:space="preserve">Table 5.1: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5.2: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SSIS (Data Flow Tasks, Execute SQL Tasks, Event Handlers)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SHA2_256 via HASHBYTES('SHA2_256') — VARBINARY(32)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lastRenderedPageBreak/>
        <w:t>5.3.2 ETL Load Time Benchmarks</w:t>
      </w:r>
    </w:p>
    <w:p w14:paraId="731114AD" w14:textId="22699A3E" w:rsidR="0002582F" w:rsidRDefault="00584B97" w:rsidP="00693C4D">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(Hub+SAT+Link)</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23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5.3: </w:t>
      </w:r>
      <w:r>
        <w:t>ETL Pipeline Execution Time Benchmarks (Full Load vs Incremental Load)</w:t>
      </w:r>
    </w:p>
    <w:p w14:paraId="4DDF8DF8" w14:textId="451EB6F7" w:rsidR="00725DED" w:rsidRDefault="00584B97" w:rsidP="00E91380">
      <w:pPr>
        <w:spacing w:after="120" w:line="360" w:lineRule="auto"/>
        <w:jc w:val="both"/>
        <w:rPr>
          <w:b/>
          <w:bCs/>
        </w:rPr>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11.0s for Full Load and 12.7s for Incremental Load. Incremental loading processes fewer new records (50 Bronze records vs 184,108 in Full Load), with the total time remaining similar because staging performs a full extract each run and Silver/Gold layers rebuild their computed tables.</w:t>
      </w:r>
    </w:p>
    <w:p w14:paraId="3D727BC8" w14:textId="37017483" w:rsidR="0002582F" w:rsidRDefault="00584B97">
      <w:pPr>
        <w:spacing w:before="240" w:after="120"/>
      </w:pPr>
      <w:r>
        <w:rPr>
          <w:b/>
          <w:bCs/>
        </w:rPr>
        <w:t>5.3.3 Query Performance Benchmarks</w:t>
      </w:r>
    </w:p>
    <w:p w14:paraId="6C038AC9" w14:textId="77777777" w:rsidR="0002582F" w:rsidRDefault="00584B97">
      <w:pPr>
        <w:spacing w:after="120" w:line="360" w:lineRule="auto"/>
        <w:jc w:val="both"/>
      </w:pPr>
      <w:r>
        <w:t>Query performance was evaluated across three complexity levels representing typical analytical workloads against the Gold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lastRenderedPageBreak/>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(ms)</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(ms)</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5.4: </w:t>
      </w:r>
      <w:r>
        <w:t>Query Performance Benchmarks by Complexity Level (Gold Layer vs Raw Vault)</w:t>
      </w:r>
    </w:p>
    <w:p w14:paraId="4EB6E059" w14:textId="1426624B" w:rsidR="0002582F" w:rsidRDefault="00584B97" w:rsidP="00352388">
      <w:pPr>
        <w:spacing w:after="120" w:line="360" w:lineRule="auto"/>
        <w:jc w:val="both"/>
      </w:pPr>
      <w:r>
        <w:t>The Gold layer star schema delivers query response times of 24ms for simple and 18ms for medium-complexity queries. The complex analytical query involving 4-table joins completes in 771ms compared to 798ms for the equivalent Raw Vault query, yielding a modest 1.03x speedup at the complex level but 6.8x–8.3x speedups for simple and medium queries. The diminished advantage at the complex level is attributed to aggregation operations that require full table scans regardless of the underlying model, reducing the benefit of pre-joined star schema structures. This validates the medallion architecture’s approach of materializing a star schema Gold layer for analytical consumption rather than querying the Raw Vault directly, consistent with findings by Naamane and Jovanovic [10] that Data Vault alone is insufficient for direct reporting.</w:t>
      </w:r>
    </w:p>
    <w:p w14:paraId="1FBC73E0" w14:textId="77777777" w:rsidR="00E91380" w:rsidRDefault="00E91380">
      <w:pPr>
        <w:rPr>
          <w:b/>
          <w:bCs/>
        </w:rPr>
      </w:pPr>
      <w:r>
        <w:rPr>
          <w:b/>
          <w:bCs/>
        </w:rPr>
        <w:br w:type="page"/>
      </w:r>
    </w:p>
    <w:p w14:paraId="58C9908B" w14:textId="465E0396" w:rsidR="0002582F" w:rsidRDefault="00584B97">
      <w:pPr>
        <w:spacing w:before="240" w:after="120"/>
      </w:pPr>
      <w:r>
        <w:rPr>
          <w:b/>
          <w:bCs/>
        </w:rPr>
        <w:lastRenderedPageBreak/>
        <w:t>5.3.4 Scalability Analysis</w:t>
      </w:r>
    </w:p>
    <w:p w14:paraId="6FBB4CDF" w14:textId="785C99AA" w:rsidR="0002582F" w:rsidRDefault="00584B97" w:rsidP="00B8351B">
      <w:pPr>
        <w:spacing w:after="120" w:line="360" w:lineRule="auto"/>
        <w:jc w:val="both"/>
      </w:pPr>
      <w:r>
        <w:t>To evaluate scalability characteristics, the ETL pipeline was executed with progressively increasing data volumes by scaling the source taxpayer count and associated transactions proportionally.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 Processed</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~336,000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5.5: </w:t>
      </w:r>
      <w:r>
        <w:t>ETL Pipeline Scalability Analysis with Increasing Data Volumes</w:t>
      </w:r>
    </w:p>
    <w:p w14:paraId="6C5AC543" w14:textId="716477CC" w:rsidR="0002582F" w:rsidRDefault="00584B97">
      <w:pPr>
        <w:spacing w:after="120" w:line="360" w:lineRule="auto"/>
        <w:jc w:val="both"/>
      </w:pPr>
      <w:r>
        <w:t>The “Total Records Processed” column represents the aggregate row count across all pipeline layers (Staging + Bronze + Silver + Gold), not source record count alone. The 1,000-taxpayer baseline produces ~57,000 source records that expand to ~336,000 total processed records through multi-layer transformation. The pipeline demonstrates near-linear scalability up to 2,000 taxpayers (~120,000 total processed records), maintaining a throughput of approximately 2,200 records per second. At 5,000 taxpayers (~300,000 total processed records), a slight degradation to 2,109 records/second is observed, representing approximately 4.7% overhead compared to the linear projection. This degradation is primarily attributed to hash key lookup operations in the Bronze layer that scale with the existing Hub table size. For production-scale deployments with significantly larger volumes, columnstore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The performance benchmarks were conducted on a single development environment configuration. Variations in hardware specifications, SQL Server configuration 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25DD7D57" w14:textId="77777777" w:rsidR="00943B36" w:rsidRDefault="00943B36">
      <w:pPr>
        <w:rPr>
          <w:b/>
          <w:bCs/>
        </w:rPr>
      </w:pPr>
      <w:r>
        <w:rPr>
          <w:b/>
          <w:bCs/>
        </w:rPr>
        <w:br w:type="page"/>
      </w:r>
    </w:p>
    <w:p w14:paraId="1906A726" w14:textId="35B618AD" w:rsidR="0002582F" w:rsidRDefault="00584B97">
      <w:pPr>
        <w:spacing w:before="240" w:after="120"/>
      </w:pPr>
      <w:r>
        <w:rPr>
          <w:b/>
          <w:bCs/>
        </w:rPr>
        <w:lastRenderedPageBreak/>
        <w:t>External Validity</w:t>
      </w:r>
    </w:p>
    <w:p w14:paraId="55A9FBEC" w14:textId="0E2C9164"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Additionally, the benchmark environment uses a Google Cloud e2-standard-4 VM with shared-core CPU, which may not represent the performance characteristics of dedicated on-premise hardware typically used in government data center deployments. The generalizability of the performance results to production-scale volumes (millions of taxpayers) requires further validation with columnstore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1A2B3C4D" w14:textId="77777777" w:rsidR="0002582F" w:rsidRDefault="00584B97">
      <w:pPr>
        <w:spacing w:before="240" w:after="120"/>
      </w:pPr>
      <w:r>
        <w:rPr>
          <w:b/>
          <w:bCs/>
        </w:rPr>
        <w:t>Conclusion Validity</w:t>
      </w:r>
    </w:p>
    <w:p w14:paraId="5E6F7A8B" w14:textId="77777777" w:rsidR="0002582F" w:rsidRDefault="00584B97">
      <w:pPr>
        <w:spacing w:after="120" w:line="360" w:lineRule="auto"/>
        <w:jc w:val="both"/>
      </w:pPr>
      <w:r>
        <w:t>The benchmark methodology used 10 iterations per test with cold cache exclusion, providing reasonable measurement consistency. However, no standard deviation or confidence intervals were calculated for the reported timing values. The throughput figures (records per second) represent point estimates rather than statistically characterized distributions. Future work could strengthen these findings by reporting mean ± standard deviation across iterations and conducting statistical significance tests for comparative benchmarks.</w:t>
      </w:r>
    </w:p>
    <w:p w14:paraId="6D2D0BF0" w14:textId="77777777" w:rsidR="0002582F" w:rsidRDefault="0002582F">
      <w:pPr>
        <w:sectPr w:rsidR="0002582F">
          <w:footerReference w:type="default" r:id="rId19"/>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lastRenderedPageBreak/>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28E3B1C9" w14:textId="3E5E68A0" w:rsidR="00725DED"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1D8B806A" w14:textId="46E08F60" w:rsidR="00725DED" w:rsidRDefault="00584B97">
      <w:pPr>
        <w:spacing w:after="120" w:line="360" w:lineRule="auto"/>
        <w:jc w:val="both"/>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67745FC5" w14:textId="2FE93A21" w:rsidR="00725DED" w:rsidRDefault="00584B97">
      <w:pPr>
        <w:spacing w:after="120" w:line="360" w:lineRule="auto"/>
        <w:jc w:val="both"/>
      </w:pPr>
      <w:r>
        <w:t xml:space="preserve">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w:t>
        <w:lastRenderedPageBreak/>
        <w:t>ETL complexity, storage footprint, and development effort. These trade-offs are justified in Cambodia's government tax administration context where regulatory compliance, auditability, and long-term adaptability outweigh raw performance considerations.</w:t>
      </w: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C73D10">
      <w:pPr>
        <w:pStyle w:val="ListParagraph"/>
        <w:numPr>
          <w:ilvl w:val="0"/>
          <w:numId w:val="11"/>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C73D10">
      <w:pPr>
        <w:pStyle w:val="ListParagraph"/>
        <w:numPr>
          <w:ilvl w:val="0"/>
          <w:numId w:val="11"/>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C73D10">
      <w:pPr>
        <w:pStyle w:val="ListParagraph"/>
        <w:numPr>
          <w:ilvl w:val="0"/>
          <w:numId w:val="11"/>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C73D10">
      <w:pPr>
        <w:pStyle w:val="ListParagraph"/>
        <w:numPr>
          <w:ilvl w:val="0"/>
          <w:numId w:val="11"/>
        </w:numPr>
        <w:spacing w:after="60" w:line="360" w:lineRule="auto"/>
      </w:pPr>
      <w:r>
        <w:t>Advanced Analytics: Build machine learning models on top of the Gold layer for predictive analytics such as compliance risk scoring, revenue forecasting, and anomaly detection.</w:t>
      </w:r>
    </w:p>
    <w:p w14:paraId="2F69A146" w14:textId="1B81C1A3" w:rsidR="0002582F" w:rsidRDefault="00584B97" w:rsidP="00C73D10">
      <w:pPr>
        <w:pStyle w:val="ListParagraph"/>
        <w:numPr>
          <w:ilvl w:val="0"/>
          <w:numId w:val="11"/>
        </w:numPr>
        <w:spacing w:after="60" w:line="360" w:lineRule="auto"/>
      </w:pPr>
      <w:r>
        <w:t>Performance Optimization: Implement column store indexes, table partitioning, and parallel loading strategies for production-scale data volumes.</w:t>
      </w:r>
    </w:p>
    <w:p w14:paraId="025CB879" w14:textId="77777777" w:rsidR="0002582F" w:rsidRDefault="00584B97" w:rsidP="00C73D10">
      <w:pPr>
        <w:pStyle w:val="ListParagraph"/>
        <w:numPr>
          <w:ilvl w:val="0"/>
          <w:numId w:val="11"/>
        </w:numPr>
        <w:spacing w:after="60" w:line="360" w:lineRule="auto"/>
      </w:pPr>
      <w:r>
        <w:t>Data Governance: Add row-level security, data masking, and role-based access control to protect sensitive taxpayer information.</w:t>
      </w:r>
    </w:p>
    <w:p w14:paraId="3A1DBCB8" w14:textId="77777777" w:rsidR="0002582F" w:rsidRDefault="00584B97" w:rsidP="00C73D10">
      <w:pPr>
        <w:pStyle w:val="ListParagraph"/>
        <w:numPr>
          <w:ilvl w:val="0"/>
          <w:numId w:val="11"/>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20"/>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lastRenderedPageBreak/>
        <w:t>REFERENCES</w:t>
      </w:r>
    </w:p>
    <w:p w14:paraId="72FFB86D" w14:textId="77777777" w:rsidR="0002582F" w:rsidRDefault="00584B97">
      <w:pPr>
        <w:spacing w:after="200" w:line="360" w:lineRule="auto"/>
        <w:ind w:left="360" w:hanging="360"/>
      </w:pPr>
      <w:r>
        <w:t>[1] D. Linstedt and M. Olschimke,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[7] W. H. Inmon, "Building the Data Warehouse," 4th ed., Indianapolis, IN: Wiley, 2005.</w:t>
      </w:r>
    </w:p>
    <w:p w14:paraId="3676D15D" w14:textId="77777777" w:rsidR="0002582F" w:rsidRDefault="00584B97">
      <w:pPr>
        <w:spacing w:after="200" w:line="360" w:lineRule="auto"/>
        <w:ind w:left="360" w:hanging="360"/>
      </w:pPr>
      <w:r>
        <w:t>[8] K. Graziano, "The Data Vault Guru: A Pragmatic Guide on Building a Data Vault," New York, NY: Apress, 2021.</w:t>
      </w:r>
    </w:p>
    <w:p w14:paraId="074AB461"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57F6ADAD"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 xml:space="preserve">[11] A. Vines, "Performance Evaluation of Data Vault and Dimensional Modeling: Insights from TPC-DS Dataset Analysis," in Proc. 23rd Int. Conf. Informatics in </w:t>
        <w:lastRenderedPageBreak/>
        <w:t>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4068B003"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lastRenderedPageBreak/>
        <w:t>[22] E. M. Leonard, "Design and Implementation of an Enterprise Data Warehouse," M.S. thesis, Marquette University, 2011.</w:t>
      </w:r>
    </w:p>
    <w:p w14:paraId="688977A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6CC1ABE0"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14:paraId="03BEE7DE" w14:textId="77777777" w:rsidR="00C60664" w:rsidRDefault="00733749">
      <w:pPr>
        <w:spacing w:after="200" w:line="360" w:lineRule="auto"/>
        <w:ind w:left="360" w:hanging="360"/>
      </w:pPr>
      <w:r>
        <w:t>[27] Microsoft, “Create Indexed Views,” Microsoft SQL Server Documentation, 2024. https://learn.microsoft.com/en-us/sql/relational-databases/views/create-indexed-views</w:t>
      </w:r>
    </w:p>
    <w:p w14:paraId="4DD1D928" w14:textId="77777777" w:rsidR="00C60664" w:rsidRDefault="00733749">
      <w:pPr>
        <w:spacing w:after="200" w:line="360" w:lineRule="auto"/>
        <w:ind w:left="360" w:hanging="360"/>
      </w:pPr>
      <w:r>
        <w:t>[28] A. Gandomi and M. Haider, “Beyond the Hype: Big Data Concepts, Methods, and Analytics,” International Journal of Information Management, vol. 35, no. 2, pp. 137–144, 2015.</w:t>
      </w:r>
    </w:p>
    <w:p w14:paraId="0684C580" w14:textId="77777777" w:rsidR="00C60664" w:rsidRDefault="00733749">
      <w:pPr>
        <w:spacing w:after="200" w:line="360" w:lineRule="auto"/>
        <w:ind w:left="360" w:hanging="360"/>
      </w:pPr>
      <w:r>
        <w:t>[29] A. Oussous, F. Z. Benjelloun, A. A. Lahcen, and S. Belfkih, “Big Data Technologies: A Survey,” Journal of King Saud University – Computer and Information Sciences, vol. 30, no. 4, pp. 431–448, 2018.</w:t>
      </w:r>
    </w:p>
    <w:p w14:paraId="2E997D8B" w14:textId="77777777" w:rsidR="00C60664" w:rsidRDefault="00733749">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14:paraId="51720042" w14:textId="77777777" w:rsidR="00C60664" w:rsidRDefault="00733749">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 xml:space="preserve">[32] S. So, “Implementation Scenarios: Data Vault 2.0 Tax System Data Warehouse — Companion Document to Chapter 5 (Sections 5.2.5, 5.2.6, 5.2.7),” RUPP, 2026. </w:t>
        <w:lastRenderedPageBreak/>
        <w:t>[Step-by-step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5.3.2, 5.3.3, 5.3.4),” RUPP, 2026. [Reproducible SQL scripts for ETL Load Time, Query Performance, and Scalability benchmarks]</w:t>
      </w:r>
    </w:p>
    <w:p w14:paraId="0BB000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57FBF9DB" w14:textId="77777777" w:rsidR="0002582F" w:rsidRDefault="0002582F">
      <w:pPr>
        <w:sectPr w:rsidR="0002582F">
          <w:footerReference w:type="default" r:id="rId21"/>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lastRenderedPageBreak/>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3854"/>
        <w:gridCol w:w="1166"/>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8 orchestrator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8 orchestrator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Calls 9 staging packages with LoadType=FULL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Calls 9 staging packages with LoadType=INCREMENTAL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r>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9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sectPr w:rsidR="00522D60">
      <w:footerReference w:type="default" r:id="rId22"/>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BBDC3" w14:textId="77777777" w:rsidR="0018555B" w:rsidRDefault="0018555B">
      <w:r>
        <w:separator/>
      </w:r>
    </w:p>
  </w:endnote>
  <w:endnote w:type="continuationSeparator" w:id="0">
    <w:p w14:paraId="20FD80D5" w14:textId="77777777" w:rsidR="0018555B" w:rsidRDefault="001855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0AA0B" w14:textId="77777777" w:rsidR="0018555B" w:rsidRDefault="0018555B">
      <w:r>
        <w:separator/>
      </w:r>
    </w:p>
  </w:footnote>
  <w:footnote w:type="continuationSeparator" w:id="0">
    <w:p w14:paraId="05EA3C14" w14:textId="77777777" w:rsidR="0018555B" w:rsidRDefault="001855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32BC3"/>
    <w:rsid w:val="00063408"/>
    <w:rsid w:val="00070FAE"/>
    <w:rsid w:val="00072898"/>
    <w:rsid w:val="00074B5D"/>
    <w:rsid w:val="00094930"/>
    <w:rsid w:val="000B0561"/>
    <w:rsid w:val="000C2B2A"/>
    <w:rsid w:val="000F38E0"/>
    <w:rsid w:val="00102D9D"/>
    <w:rsid w:val="0013236F"/>
    <w:rsid w:val="0018555B"/>
    <w:rsid w:val="001D6231"/>
    <w:rsid w:val="001E0294"/>
    <w:rsid w:val="001E496D"/>
    <w:rsid w:val="001F6613"/>
    <w:rsid w:val="002017B9"/>
    <w:rsid w:val="00207BC9"/>
    <w:rsid w:val="00221393"/>
    <w:rsid w:val="00224EC6"/>
    <w:rsid w:val="00260556"/>
    <w:rsid w:val="00284B96"/>
    <w:rsid w:val="002D1A20"/>
    <w:rsid w:val="002E2887"/>
    <w:rsid w:val="003237BC"/>
    <w:rsid w:val="00325B19"/>
    <w:rsid w:val="00326E89"/>
    <w:rsid w:val="00352388"/>
    <w:rsid w:val="00387101"/>
    <w:rsid w:val="003A1A5D"/>
    <w:rsid w:val="003A60F2"/>
    <w:rsid w:val="003A7E1A"/>
    <w:rsid w:val="003C4893"/>
    <w:rsid w:val="003E0F63"/>
    <w:rsid w:val="004510A5"/>
    <w:rsid w:val="00465E10"/>
    <w:rsid w:val="00484BE5"/>
    <w:rsid w:val="00487D3E"/>
    <w:rsid w:val="004F46E1"/>
    <w:rsid w:val="00522D60"/>
    <w:rsid w:val="00546E62"/>
    <w:rsid w:val="00584B97"/>
    <w:rsid w:val="005915FB"/>
    <w:rsid w:val="00593FCC"/>
    <w:rsid w:val="005952C4"/>
    <w:rsid w:val="00597136"/>
    <w:rsid w:val="005A3E79"/>
    <w:rsid w:val="005B17FC"/>
    <w:rsid w:val="005C0B23"/>
    <w:rsid w:val="00633977"/>
    <w:rsid w:val="006872C6"/>
    <w:rsid w:val="00687DFA"/>
    <w:rsid w:val="00687F98"/>
    <w:rsid w:val="00693C4D"/>
    <w:rsid w:val="00696AB5"/>
    <w:rsid w:val="006A2700"/>
    <w:rsid w:val="006A5D6F"/>
    <w:rsid w:val="006B69A7"/>
    <w:rsid w:val="006C59DF"/>
    <w:rsid w:val="00723DC8"/>
    <w:rsid w:val="00725DED"/>
    <w:rsid w:val="007336F0"/>
    <w:rsid w:val="00733749"/>
    <w:rsid w:val="00744C22"/>
    <w:rsid w:val="00754637"/>
    <w:rsid w:val="0078311C"/>
    <w:rsid w:val="007A23D1"/>
    <w:rsid w:val="007D5CCE"/>
    <w:rsid w:val="007E7E8B"/>
    <w:rsid w:val="0080430A"/>
    <w:rsid w:val="008067B4"/>
    <w:rsid w:val="00820497"/>
    <w:rsid w:val="00854A01"/>
    <w:rsid w:val="008623F2"/>
    <w:rsid w:val="008655F9"/>
    <w:rsid w:val="00870962"/>
    <w:rsid w:val="008838C9"/>
    <w:rsid w:val="008E4BF2"/>
    <w:rsid w:val="008E5B52"/>
    <w:rsid w:val="0090377B"/>
    <w:rsid w:val="00943B36"/>
    <w:rsid w:val="00971FC8"/>
    <w:rsid w:val="00994021"/>
    <w:rsid w:val="009C30C7"/>
    <w:rsid w:val="00A01CA6"/>
    <w:rsid w:val="00A2423B"/>
    <w:rsid w:val="00A47CC8"/>
    <w:rsid w:val="00A679DE"/>
    <w:rsid w:val="00AB6A58"/>
    <w:rsid w:val="00AC6DF1"/>
    <w:rsid w:val="00B0270B"/>
    <w:rsid w:val="00B26BF3"/>
    <w:rsid w:val="00B33219"/>
    <w:rsid w:val="00B62C8E"/>
    <w:rsid w:val="00B8351B"/>
    <w:rsid w:val="00BB5EC9"/>
    <w:rsid w:val="00C60664"/>
    <w:rsid w:val="00C73D10"/>
    <w:rsid w:val="00C92A1A"/>
    <w:rsid w:val="00CD6D37"/>
    <w:rsid w:val="00CE751F"/>
    <w:rsid w:val="00CF5F05"/>
    <w:rsid w:val="00D03856"/>
    <w:rsid w:val="00D20E49"/>
    <w:rsid w:val="00D37997"/>
    <w:rsid w:val="00D56873"/>
    <w:rsid w:val="00D96036"/>
    <w:rsid w:val="00DC385D"/>
    <w:rsid w:val="00DE3100"/>
    <w:rsid w:val="00DE323E"/>
    <w:rsid w:val="00DF6FBA"/>
    <w:rsid w:val="00E164D0"/>
    <w:rsid w:val="00E51C87"/>
    <w:rsid w:val="00E53D00"/>
    <w:rsid w:val="00E91380"/>
    <w:rsid w:val="00ED3563"/>
    <w:rsid w:val="00EE23BF"/>
    <w:rsid w:val="00EE596B"/>
    <w:rsid w:val="00F05FB2"/>
    <w:rsid w:val="00F4102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4.xml"/><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59</Pages>
  <Words>14240</Words>
  <Characters>81172</Characters>
  <Application>Microsoft Office Word</Application>
  <DocSecurity>0</DocSecurity>
  <Lines>676</Lines>
  <Paragraphs>190</Paragraphs>
  <ScaleCrop>false</ScaleCrop>
  <Company/>
  <LinksUpToDate>false</LinksUpToDate>
  <CharactersWithSpaces>95222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224</cp:revision>
  <dcterms:created xsi:type="dcterms:W3CDTF">2026-02-13T01:40:00Z</dcterms:created>
  <dcterms:modified xsi:type="dcterms:W3CDTF">2026-02-26T06:18:00Z</dcterms:modified>
</cp:coreProperties>
</file>