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pBdr>
          <w:bottom w:val="single" w:color="1B1B1B" w:sz="6" w:space="12"/>
        </w:pBdr>
        <w:spacing w:after="200"/>
        <w:jc w:val="center"/>
      </w:pPr>
      <w:r>
        <w:rPr>
          <w:rFonts w:ascii="Cambria" w:cs="Cambria" w:eastAsia="Cambria" w:hAnsi="Cambria"/>
          <w:b/>
          <w:bCs/>
          <w:sz w:val="52"/>
          <w:szCs w:val="52"/>
        </w:rPr>
        <w:t xml:space="preserve">IBM CASE STUDY</w:t>
      </w:r>
    </w:p>
    <w:p>
      <w:pPr>
        <w:spacing w:after="700"/>
        <w:jc w:val="center"/>
      </w:pPr>
      <w:r>
        <w:rPr>
          <w:rFonts w:ascii="Cambria" w:cs="Cambria" w:eastAsia="Cambria" w:hAnsi="Cambria"/>
          <w:i/>
          <w:iCs/>
          <w:color w:val="333333"/>
          <w:sz w:val="30"/>
          <w:szCs w:val="30"/>
        </w:rPr>
        <w:t xml:space="preserve">Cybersecurity Network Threat &amp; Intrusion Profiler</w:t>
      </w:r>
    </w:p>
    <w:tbl>
      <w:tblPr>
        <w:tblW w:type="dxa" w:w="85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5900"/>
      </w:tblGrid>
      <w:tr>
        <w:tc>
          <w:tcPr>
            <w:tcW w:type="dxa" w:w="2600"/>
            <w:shd w:fill="F2F2F2" w:val="clear"/>
            <w:tcMar>
              <w:top w:type="dxa" w:w="120"/>
              <w:left w:type="dxa" w:w="160"/>
              <w:bottom w:type="dxa" w:w="120"/>
              <w:right w:type="dxa" w:w="160"/>
            </w:tcMar>
            <w:vAlign w:val="center"/>
          </w:tcPr>
          <w:p>
            <w:r>
              <w:rPr>
                <w:rFonts w:ascii="Cambria" w:cs="Cambria" w:eastAsia="Cambria" w:hAnsi="Cambria"/>
                <w:b/>
                <w:bCs/>
                <w:sz w:val="22"/>
                <w:szCs w:val="22"/>
              </w:rPr>
              <w:t xml:space="preserve">Name</w:t>
            </w:r>
          </w:p>
        </w:tc>
        <w:tc>
          <w:tcPr>
            <w:tcW w:type="dxa" w:w="5900"/>
            <w:shd w:fill="F2F2F2" w:val="clear"/>
            <w:tcMar>
              <w:top w:type="dxa" w:w="120"/>
              <w:left w:type="dxa" w:w="160"/>
              <w:bottom w:type="dxa" w:w="120"/>
              <w:right w:type="dxa" w:w="160"/>
            </w:tcMar>
            <w:vAlign w:val="center"/>
          </w:tcPr>
          <w:p>
            <w:r>
              <w:rPr>
                <w:rFonts w:ascii="Cambria" w:cs="Cambria" w:eastAsia="Cambria" w:hAnsi="Cambria"/>
                <w:sz w:val="22"/>
                <w:szCs w:val="22"/>
              </w:rPr>
              <w:t xml:space="preserve">V S Sravan Malladi</w:t>
            </w:r>
          </w:p>
        </w:tc>
      </w:tr>
      <w:tr>
        <w:tc>
          <w:tcPr>
            <w:tcW w:type="dxa" w:w="2600"/>
            <w:shd w:fill="FFFFFF" w:val="clear"/>
            <w:tcMar>
              <w:top w:type="dxa" w:w="120"/>
              <w:left w:type="dxa" w:w="160"/>
              <w:bottom w:type="dxa" w:w="120"/>
              <w:right w:type="dxa" w:w="160"/>
            </w:tcMar>
            <w:vAlign w:val="center"/>
          </w:tcPr>
          <w:p>
            <w:r>
              <w:rPr>
                <w:rFonts w:ascii="Cambria" w:cs="Cambria" w:eastAsia="Cambria" w:hAnsi="Cambria"/>
                <w:b/>
                <w:bCs/>
                <w:sz w:val="22"/>
                <w:szCs w:val="22"/>
              </w:rPr>
              <w:t xml:space="preserve">Roll No</w:t>
            </w:r>
          </w:p>
        </w:tc>
        <w:tc>
          <w:tcPr>
            <w:tcW w:type="dxa" w:w="5900"/>
            <w:shd w:fill="FFFFFF" w:val="clear"/>
            <w:tcMar>
              <w:top w:type="dxa" w:w="120"/>
              <w:left w:type="dxa" w:w="160"/>
              <w:bottom w:type="dxa" w:w="120"/>
              <w:right w:type="dxa" w:w="160"/>
            </w:tcMar>
            <w:vAlign w:val="center"/>
          </w:tcPr>
          <w:p>
            <w:r>
              <w:rPr>
                <w:rFonts w:ascii="Cambria" w:cs="Cambria" w:eastAsia="Cambria" w:hAnsi="Cambria"/>
                <w:sz w:val="22"/>
                <w:szCs w:val="22"/>
              </w:rPr>
              <w:t xml:space="preserve">A24126552268</w:t>
            </w:r>
          </w:p>
        </w:tc>
      </w:tr>
      <w:tr>
        <w:tc>
          <w:tcPr>
            <w:tcW w:type="dxa" w:w="2600"/>
            <w:shd w:fill="F2F2F2" w:val="clear"/>
            <w:tcMar>
              <w:top w:type="dxa" w:w="120"/>
              <w:left w:type="dxa" w:w="160"/>
              <w:bottom w:type="dxa" w:w="120"/>
              <w:right w:type="dxa" w:w="160"/>
            </w:tcMar>
            <w:vAlign w:val="center"/>
          </w:tcPr>
          <w:p>
            <w:r>
              <w:rPr>
                <w:rFonts w:ascii="Cambria" w:cs="Cambria" w:eastAsia="Cambria" w:hAnsi="Cambria"/>
                <w:b/>
                <w:bCs/>
                <w:sz w:val="22"/>
                <w:szCs w:val="22"/>
              </w:rPr>
              <w:t xml:space="preserve">IBM ID</w:t>
            </w:r>
          </w:p>
        </w:tc>
        <w:tc>
          <w:tcPr>
            <w:tcW w:type="dxa" w:w="5900"/>
            <w:shd w:fill="F2F2F2" w:val="clear"/>
            <w:tcMar>
              <w:top w:type="dxa" w:w="120"/>
              <w:left w:type="dxa" w:w="160"/>
              <w:bottom w:type="dxa" w:w="120"/>
              <w:right w:type="dxa" w:w="160"/>
            </w:tcMar>
            <w:vAlign w:val="center"/>
          </w:tcPr>
          <w:p>
            <w:r>
              <w:rPr>
                <w:rFonts w:ascii="Cambria" w:cs="Cambria" w:eastAsia="Cambria" w:hAnsi="Cambria"/>
                <w:sz w:val="22"/>
                <w:szCs w:val="22"/>
              </w:rPr>
              <w:t xml:space="preserve">IBMQ2DST2470</w:t>
            </w:r>
          </w:p>
        </w:tc>
      </w:tr>
      <w:tr>
        <w:tc>
          <w:tcPr>
            <w:tcW w:type="dxa" w:w="2600"/>
            <w:shd w:fill="FFFFFF" w:val="clear"/>
            <w:tcMar>
              <w:top w:type="dxa" w:w="120"/>
              <w:left w:type="dxa" w:w="160"/>
              <w:bottom w:type="dxa" w:w="120"/>
              <w:right w:type="dxa" w:w="160"/>
            </w:tcMar>
            <w:vAlign w:val="center"/>
          </w:tcPr>
          <w:p>
            <w:r>
              <w:rPr>
                <w:rFonts w:ascii="Cambria" w:cs="Cambria" w:eastAsia="Cambria" w:hAnsi="Cambria"/>
                <w:b/>
                <w:bCs/>
                <w:sz w:val="22"/>
                <w:szCs w:val="22"/>
              </w:rPr>
              <w:t xml:space="preserve">Department</w:t>
            </w:r>
          </w:p>
        </w:tc>
        <w:tc>
          <w:tcPr>
            <w:tcW w:type="dxa" w:w="5900"/>
            <w:shd w:fill="FFFFFF" w:val="clear"/>
            <w:tcMar>
              <w:top w:type="dxa" w:w="120"/>
              <w:left w:type="dxa" w:w="160"/>
              <w:bottom w:type="dxa" w:w="120"/>
              <w:right w:type="dxa" w:w="160"/>
            </w:tcMar>
            <w:vAlign w:val="center"/>
          </w:tcPr>
          <w:p>
            <w:r>
              <w:rPr>
                <w:rFonts w:ascii="Cambria" w:cs="Cambria" w:eastAsia="Cambria" w:hAnsi="Cambria"/>
                <w:sz w:val="22"/>
                <w:szCs w:val="22"/>
              </w:rPr>
              <w:t xml:space="preserve">CSE (AI &amp; ML)</w:t>
            </w:r>
          </w:p>
        </w:tc>
      </w:tr>
      <w:tr>
        <w:tc>
          <w:tcPr>
            <w:tcW w:type="dxa" w:w="2600"/>
            <w:shd w:fill="F2F2F2" w:val="clear"/>
            <w:tcMar>
              <w:top w:type="dxa" w:w="120"/>
              <w:left w:type="dxa" w:w="160"/>
              <w:bottom w:type="dxa" w:w="120"/>
              <w:right w:type="dxa" w:w="160"/>
            </w:tcMar>
            <w:vAlign w:val="center"/>
          </w:tcPr>
          <w:p>
            <w:r>
              <w:rPr>
                <w:rFonts w:ascii="Cambria" w:cs="Cambria" w:eastAsia="Cambria" w:hAnsi="Cambria"/>
                <w:b/>
                <w:bCs/>
                <w:sz w:val="22"/>
                <w:szCs w:val="22"/>
              </w:rPr>
              <w:t xml:space="preserve">College Name</w:t>
            </w:r>
          </w:p>
        </w:tc>
        <w:tc>
          <w:tcPr>
            <w:tcW w:type="dxa" w:w="5900"/>
            <w:shd w:fill="F2F2F2" w:val="clear"/>
            <w:tcMar>
              <w:top w:type="dxa" w:w="120"/>
              <w:left w:type="dxa" w:w="160"/>
              <w:bottom w:type="dxa" w:w="120"/>
              <w:right w:type="dxa" w:w="160"/>
            </w:tcMar>
            <w:vAlign w:val="center"/>
          </w:tcPr>
          <w:p>
            <w:r>
              <w:rPr>
                <w:rFonts w:ascii="Cambria" w:cs="Cambria" w:eastAsia="Cambria" w:hAnsi="Cambria"/>
                <w:sz w:val="22"/>
                <w:szCs w:val="22"/>
              </w:rPr>
              <w:t xml:space="preserve">Anil Neerukonda Institute of Technology and Sciences</w:t>
            </w:r>
          </w:p>
        </w:tc>
      </w:tr>
      <w:tr>
        <w:tc>
          <w:tcPr>
            <w:tcW w:type="dxa" w:w="2600"/>
            <w:shd w:fill="FFFFFF" w:val="clear"/>
            <w:tcMar>
              <w:top w:type="dxa" w:w="120"/>
              <w:left w:type="dxa" w:w="160"/>
              <w:bottom w:type="dxa" w:w="120"/>
              <w:right w:type="dxa" w:w="160"/>
            </w:tcMar>
            <w:vAlign w:val="center"/>
          </w:tcPr>
          <w:p>
            <w:r>
              <w:rPr>
                <w:rFonts w:ascii="Cambria" w:cs="Cambria" w:eastAsia="Cambria" w:hAnsi="Cambria"/>
                <w:b/>
                <w:bCs/>
                <w:sz w:val="22"/>
                <w:szCs w:val="22"/>
              </w:rPr>
              <w:t xml:space="preserve">Module Name</w:t>
            </w:r>
          </w:p>
        </w:tc>
        <w:tc>
          <w:tcPr>
            <w:tcW w:type="dxa" w:w="5900"/>
            <w:shd w:fill="FFFFFF" w:val="clear"/>
            <w:tcMar>
              <w:top w:type="dxa" w:w="120"/>
              <w:left w:type="dxa" w:w="160"/>
              <w:bottom w:type="dxa" w:w="120"/>
              <w:right w:type="dxa" w:w="160"/>
            </w:tcMar>
            <w:vAlign w:val="center"/>
          </w:tcPr>
          <w:p>
            <w:r>
              <w:rPr>
                <w:rFonts w:ascii="Cambria" w:cs="Cambria" w:eastAsia="Cambria" w:hAnsi="Cambria"/>
                <w:sz w:val="22"/>
                <w:szCs w:val="22"/>
              </w:rPr>
              <w:t xml:space="preserve">Artificial Intelligence and Machine Learning</w:t>
            </w:r>
          </w:p>
        </w:tc>
      </w:tr>
      <w:tr>
        <w:tc>
          <w:tcPr>
            <w:tcW w:type="dxa" w:w="2600"/>
            <w:shd w:fill="F2F2F2" w:val="clear"/>
            <w:tcMar>
              <w:top w:type="dxa" w:w="120"/>
              <w:left w:type="dxa" w:w="160"/>
              <w:bottom w:type="dxa" w:w="120"/>
              <w:right w:type="dxa" w:w="160"/>
            </w:tcMar>
            <w:vAlign w:val="center"/>
          </w:tcPr>
          <w:p>
            <w:r>
              <w:rPr>
                <w:rFonts w:ascii="Cambria" w:cs="Cambria" w:eastAsia="Cambria" w:hAnsi="Cambria"/>
                <w:b/>
                <w:bCs/>
                <w:sz w:val="22"/>
                <w:szCs w:val="22"/>
              </w:rPr>
              <w:t xml:space="preserve">Module Number</w:t>
            </w:r>
          </w:p>
        </w:tc>
        <w:tc>
          <w:tcPr>
            <w:tcW w:type="dxa" w:w="5900"/>
            <w:shd w:fill="F2F2F2" w:val="clear"/>
            <w:tcMar>
              <w:top w:type="dxa" w:w="120"/>
              <w:left w:type="dxa" w:w="160"/>
              <w:bottom w:type="dxa" w:w="120"/>
              <w:right w:type="dxa" w:w="160"/>
            </w:tcMar>
            <w:vAlign w:val="center"/>
          </w:tcPr>
          <w:p>
            <w:r>
              <w:rPr>
                <w:rFonts w:ascii="Cambria" w:cs="Cambria" w:eastAsia="Cambria" w:hAnsi="Cambria"/>
                <w:sz w:val="22"/>
                <w:szCs w:val="22"/>
              </w:rPr>
              <w:t xml:space="preserve">6</w:t>
            </w:r>
          </w:p>
        </w:tc>
      </w:tr>
      <w:tr>
        <w:tc>
          <w:tcPr>
            <w:tcW w:type="dxa" w:w="2600"/>
            <w:shd w:fill="FFFFFF" w:val="clear"/>
            <w:tcMar>
              <w:top w:type="dxa" w:w="120"/>
              <w:left w:type="dxa" w:w="160"/>
              <w:bottom w:type="dxa" w:w="120"/>
              <w:right w:type="dxa" w:w="160"/>
            </w:tcMar>
            <w:vAlign w:val="center"/>
          </w:tcPr>
          <w:p>
            <w:r>
              <w:rPr>
                <w:rFonts w:ascii="Cambria" w:cs="Cambria" w:eastAsia="Cambria" w:hAnsi="Cambria"/>
                <w:b/>
                <w:bCs/>
                <w:sz w:val="22"/>
                <w:szCs w:val="22"/>
              </w:rPr>
              <w:t xml:space="preserve">UG Level</w:t>
            </w:r>
          </w:p>
        </w:tc>
        <w:tc>
          <w:tcPr>
            <w:tcW w:type="dxa" w:w="5900"/>
            <w:shd w:fill="FFFFFF" w:val="clear"/>
            <w:tcMar>
              <w:top w:type="dxa" w:w="120"/>
              <w:left w:type="dxa" w:w="160"/>
              <w:bottom w:type="dxa" w:w="120"/>
              <w:right w:type="dxa" w:w="160"/>
            </w:tcMar>
            <w:vAlign w:val="center"/>
          </w:tcPr>
          <w:p>
            <w:r>
              <w:rPr>
                <w:rFonts w:ascii="Cambria" w:cs="Cambria" w:eastAsia="Cambria" w:hAnsi="Cambria"/>
                <w:sz w:val="22"/>
                <w:szCs w:val="22"/>
              </w:rPr>
              <w:t xml:space="preserve">2</w:t>
            </w:r>
          </w:p>
        </w:tc>
      </w:tr>
    </w:tbl>
    <w:p>
      <w:pPr>
        <w:spacing w:after="900"/>
      </w:pPr>
    </w:p>
    <w:p>
      <w:pPr>
        <w:spacing w:after="100"/>
        <w:jc w:val="center"/>
      </w:pPr>
      <w:r>
        <w:rPr>
          <w:rFonts w:ascii="Cambria" w:cs="Cambria" w:eastAsia="Cambria" w:hAnsi="Cambria"/>
          <w:i/>
          <w:iCs/>
          <w:color w:val="595959"/>
          <w:sz w:val="19"/>
          <w:szCs w:val="19"/>
        </w:rPr>
        <w:t xml:space="preserve">Declaration: This case study report and the accompanying prototype represent my own individual work, completed in accordance with the IBMQ2D Project Competition guidelines.</w:t>
      </w:r>
    </w:p>
    <w:p>
      <w:r>
        <w:br w:type="page"/>
      </w:r>
    </w:p>
    <w:p>
      <w:pPr>
        <w:spacing w:after="400"/>
        <w:jc w:val="center"/>
      </w:pPr>
      <w:r>
        <w:rPr>
          <w:rFonts w:ascii="Cambria" w:cs="Cambria" w:eastAsia="Cambria" w:hAnsi="Cambria"/>
          <w:b/>
          <w:bCs/>
          <w:sz w:val="34"/>
          <w:szCs w:val="34"/>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00"/>
      </w:tblGrid>
      <w:tr>
        <w:tc>
          <w:tcPr>
            <w:tcW w:type="dxa" w:w="900"/>
            <w:shd w:fill="1F3864" w:val="clear"/>
            <w:tcMar>
              <w:top w:type="dxa" w:w="90"/>
              <w:left w:type="dxa" w:w="140"/>
              <w:bottom w:type="dxa" w:w="90"/>
              <w:right w:type="dxa" w:w="140"/>
            </w:tcMar>
            <w:vAlign w:val="center"/>
          </w:tcPr>
          <w:p>
            <w:r>
              <w:rPr>
                <w:rFonts w:ascii="Cambria" w:cs="Cambria" w:eastAsia="Cambria" w:hAnsi="Cambria"/>
                <w:b/>
                <w:bCs/>
                <w:color w:val="FFFFFF"/>
                <w:sz w:val="22"/>
                <w:szCs w:val="22"/>
              </w:rPr>
              <w:t xml:space="preserve">S.No</w:t>
            </w:r>
          </w:p>
        </w:tc>
        <w:tc>
          <w:tcPr>
            <w:tcW w:type="dxa" w:w="6600"/>
            <w:shd w:fill="1F3864" w:val="clear"/>
            <w:tcMar>
              <w:top w:type="dxa" w:w="90"/>
              <w:left w:type="dxa" w:w="140"/>
              <w:bottom w:type="dxa" w:w="90"/>
              <w:right w:type="dxa" w:w="140"/>
            </w:tcMar>
            <w:vAlign w:val="center"/>
          </w:tcPr>
          <w:p>
            <w:r>
              <w:rPr>
                <w:rFonts w:ascii="Cambria" w:cs="Cambria" w:eastAsia="Cambria" w:hAnsi="Cambria"/>
                <w:b/>
                <w:bCs/>
                <w:color w:val="FFFFFF"/>
                <w:sz w:val="22"/>
                <w:szCs w:val="22"/>
              </w:rPr>
              <w:t xml:space="preserve">Topic</w:t>
            </w:r>
          </w:p>
        </w:tc>
        <w:tc>
          <w:tcPr>
            <w:tcW w:type="dxa" w:w="1500"/>
            <w:shd w:fill="1F3864" w:val="clear"/>
            <w:tcMar>
              <w:top w:type="dxa" w:w="90"/>
              <w:left w:type="dxa" w:w="140"/>
              <w:bottom w:type="dxa" w:w="90"/>
              <w:right w:type="dxa" w:w="140"/>
            </w:tcMar>
            <w:vAlign w:val="center"/>
          </w:tcPr>
          <w:p>
            <w:r>
              <w:rPr>
                <w:rFonts w:ascii="Cambria" w:cs="Cambria" w:eastAsia="Cambria" w:hAnsi="Cambria"/>
                <w:b/>
                <w:bCs/>
                <w:color w:val="FFFFFF"/>
                <w:sz w:val="22"/>
                <w:szCs w:val="22"/>
              </w:rPr>
              <w:t xml:space="preserve">Page No.</w:t>
            </w:r>
          </w:p>
        </w:tc>
      </w:tr>
      <w:tr>
        <w:tc>
          <w:tcPr>
            <w:tcW w:type="dxa" w:w="9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w:t>
            </w:r>
          </w:p>
        </w:tc>
        <w:tc>
          <w:tcPr>
            <w:tcW w:type="dxa" w:w="6600"/>
            <w:shd w:fill="F3F6FA"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Case Study Opted</w:t>
            </w:r>
          </w:p>
        </w:tc>
        <w:tc>
          <w:tcPr>
            <w:tcW w:type="dxa" w:w="15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3</w:t>
            </w:r>
          </w:p>
        </w:tc>
      </w:tr>
      <w:tr>
        <w:tc>
          <w:tcPr>
            <w:tcW w:type="dxa" w:w="9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2</w:t>
            </w:r>
          </w:p>
        </w:tc>
        <w:tc>
          <w:tcPr>
            <w:tcW w:type="dxa" w:w="6600"/>
            <w:shd w:fill="FFFFFF"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Overview</w:t>
            </w:r>
          </w:p>
        </w:tc>
        <w:tc>
          <w:tcPr>
            <w:tcW w:type="dxa" w:w="15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3</w:t>
            </w:r>
          </w:p>
        </w:tc>
      </w:tr>
      <w:tr>
        <w:tc>
          <w:tcPr>
            <w:tcW w:type="dxa" w:w="9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3</w:t>
            </w:r>
          </w:p>
        </w:tc>
        <w:tc>
          <w:tcPr>
            <w:tcW w:type="dxa" w:w="6600"/>
            <w:shd w:fill="F3F6FA"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Business / Security Problem</w:t>
            </w:r>
          </w:p>
        </w:tc>
        <w:tc>
          <w:tcPr>
            <w:tcW w:type="dxa" w:w="15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3</w:t>
            </w:r>
          </w:p>
        </w:tc>
      </w:tr>
      <w:tr>
        <w:tc>
          <w:tcPr>
            <w:tcW w:type="dxa" w:w="9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4</w:t>
            </w:r>
          </w:p>
        </w:tc>
        <w:tc>
          <w:tcPr>
            <w:tcW w:type="dxa" w:w="6600"/>
            <w:shd w:fill="FFFFFF"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Dataset</w:t>
            </w:r>
          </w:p>
        </w:tc>
        <w:tc>
          <w:tcPr>
            <w:tcW w:type="dxa" w:w="15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3</w:t>
            </w:r>
          </w:p>
        </w:tc>
      </w:tr>
      <w:tr>
        <w:tc>
          <w:tcPr>
            <w:tcW w:type="dxa" w:w="9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5</w:t>
            </w:r>
          </w:p>
        </w:tc>
        <w:tc>
          <w:tcPr>
            <w:tcW w:type="dxa" w:w="6600"/>
            <w:shd w:fill="F3F6FA"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KPIs / Evaluation Metrics Defined</w:t>
            </w:r>
          </w:p>
        </w:tc>
        <w:tc>
          <w:tcPr>
            <w:tcW w:type="dxa" w:w="15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4</w:t>
            </w:r>
          </w:p>
        </w:tc>
      </w:tr>
      <w:tr>
        <w:tc>
          <w:tcPr>
            <w:tcW w:type="dxa" w:w="9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6</w:t>
            </w:r>
          </w:p>
        </w:tc>
        <w:tc>
          <w:tcPr>
            <w:tcW w:type="dxa" w:w="6600"/>
            <w:shd w:fill="FFFFFF"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System &amp; Model Design</w:t>
            </w:r>
          </w:p>
        </w:tc>
        <w:tc>
          <w:tcPr>
            <w:tcW w:type="dxa" w:w="15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4</w:t>
            </w:r>
          </w:p>
        </w:tc>
      </w:tr>
      <w:tr>
        <w:tc>
          <w:tcPr>
            <w:tcW w:type="dxa" w:w="9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7</w:t>
            </w:r>
          </w:p>
        </w:tc>
        <w:tc>
          <w:tcPr>
            <w:tcW w:type="dxa" w:w="6600"/>
            <w:shd w:fill="F3F6FA"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Key Insights Surfaced</w:t>
            </w:r>
          </w:p>
        </w:tc>
        <w:tc>
          <w:tcPr>
            <w:tcW w:type="dxa" w:w="15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6</w:t>
            </w:r>
          </w:p>
        </w:tc>
      </w:tr>
      <w:tr>
        <w:tc>
          <w:tcPr>
            <w:tcW w:type="dxa" w:w="9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8</w:t>
            </w:r>
          </w:p>
        </w:tc>
        <w:tc>
          <w:tcPr>
            <w:tcW w:type="dxa" w:w="6600"/>
            <w:shd w:fill="FFFFFF"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Security Impact and Recommendations</w:t>
            </w:r>
          </w:p>
        </w:tc>
        <w:tc>
          <w:tcPr>
            <w:tcW w:type="dxa" w:w="15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12</w:t>
            </w:r>
          </w:p>
        </w:tc>
      </w:tr>
      <w:tr>
        <w:tc>
          <w:tcPr>
            <w:tcW w:type="dxa" w:w="9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9</w:t>
            </w:r>
          </w:p>
        </w:tc>
        <w:tc>
          <w:tcPr>
            <w:tcW w:type="dxa" w:w="6600"/>
            <w:shd w:fill="F3F6FA"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Challenges and Solutions</w:t>
            </w:r>
          </w:p>
        </w:tc>
        <w:tc>
          <w:tcPr>
            <w:tcW w:type="dxa" w:w="15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13</w:t>
            </w:r>
          </w:p>
        </w:tc>
      </w:tr>
      <w:tr>
        <w:tc>
          <w:tcPr>
            <w:tcW w:type="dxa" w:w="9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10</w:t>
            </w:r>
          </w:p>
        </w:tc>
        <w:tc>
          <w:tcPr>
            <w:tcW w:type="dxa" w:w="6600"/>
            <w:shd w:fill="FFFFFF"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Outcome of Case Study</w:t>
            </w:r>
          </w:p>
        </w:tc>
        <w:tc>
          <w:tcPr>
            <w:tcW w:type="dxa" w:w="15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13</w:t>
            </w:r>
          </w:p>
        </w:tc>
      </w:tr>
      <w:tr>
        <w:tc>
          <w:tcPr>
            <w:tcW w:type="dxa" w:w="9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11</w:t>
            </w:r>
          </w:p>
        </w:tc>
        <w:tc>
          <w:tcPr>
            <w:tcW w:type="dxa" w:w="6600"/>
            <w:shd w:fill="F3F6FA"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Conclusion</w:t>
            </w:r>
          </w:p>
        </w:tc>
        <w:tc>
          <w:tcPr>
            <w:tcW w:type="dxa" w:w="1500"/>
            <w:shd w:fill="F3F6FA"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14</w:t>
            </w:r>
          </w:p>
        </w:tc>
      </w:tr>
      <w:tr>
        <w:tc>
          <w:tcPr>
            <w:tcW w:type="dxa" w:w="9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12</w:t>
            </w:r>
          </w:p>
        </w:tc>
        <w:tc>
          <w:tcPr>
            <w:tcW w:type="dxa" w:w="6600"/>
            <w:shd w:fill="FFFFFF" w:val="clear"/>
            <w:tcMar>
              <w:top w:type="dxa" w:w="80"/>
              <w:left w:type="dxa" w:w="140"/>
              <w:bottom w:type="dxa" w:w="80"/>
              <w:right w:type="dxa" w:w="140"/>
            </w:tcMar>
            <w:vAlign w:val="center"/>
          </w:tcPr>
          <w:p>
            <w:pPr>
              <w:jc w:val="left"/>
            </w:pPr>
            <w:r>
              <w:rPr>
                <w:rFonts w:ascii="Cambria" w:cs="Cambria" w:eastAsia="Cambria" w:hAnsi="Cambria"/>
                <w:sz w:val="22"/>
                <w:szCs w:val="22"/>
              </w:rPr>
              <w:t xml:space="preserve">How to Run the Prototype</w:t>
            </w:r>
          </w:p>
        </w:tc>
        <w:tc>
          <w:tcPr>
            <w:tcW w:type="dxa" w:w="1500"/>
            <w:shd w:fill="FFFFFF" w:val="clear"/>
            <w:tcMar>
              <w:top w:type="dxa" w:w="80"/>
              <w:left w:type="dxa" w:w="140"/>
              <w:bottom w:type="dxa" w:w="80"/>
              <w:right w:type="dxa" w:w="140"/>
            </w:tcMar>
            <w:vAlign w:val="center"/>
          </w:tcPr>
          <w:p>
            <w:pPr>
              <w:jc w:val="center"/>
            </w:pPr>
            <w:r>
              <w:rPr>
                <w:rFonts w:ascii="Cambria" w:cs="Cambria" w:eastAsia="Cambria" w:hAnsi="Cambria"/>
                <w:sz w:val="22"/>
                <w:szCs w:val="22"/>
              </w:rPr>
              <w:t xml:space="preserve">14</w:t>
            </w:r>
          </w:p>
        </w:tc>
      </w:tr>
    </w:tbl>
    <w:p>
      <w:r>
        <w:br w:type="page"/>
      </w:r>
    </w:p>
    <w:p>
      <w:pPr>
        <w:pStyle w:val="Heading1"/>
        <w:spacing w:after="200" w:before="400"/>
      </w:pPr>
      <w:r>
        <w:t xml:space="preserve">1. Case Study Opted</w:t>
      </w:r>
    </w:p>
    <w:p>
      <w:pPr>
        <w:spacing w:after="160"/>
      </w:pPr>
      <w:r>
        <w:t xml:space="preserve">Case study title: Cybersecurity Network Threat &amp; Intrusion Profiler (IBMQ2D Case Study #18, UG Level 2)</w:t>
      </w:r>
    </w:p>
    <w:p>
      <w:pPr>
        <w:spacing w:after="160"/>
      </w:pPr>
      <w:r>
        <w:t xml:space="preserve">Modern computer networks face both known cyberattacks and newly invented attack methods. In this project, a machine learning system is built that uses classification models to catch known network attacks and anomaly detection algorithms to flag unusual, zero-day network traffic, using the NSL-KDD Network Intrusion Dataset.</w:t>
      </w:r>
    </w:p>
    <w:p>
      <w:pPr>
        <w:pStyle w:val="ListParagraph"/>
        <w:numPr>
          <w:ilvl w:val="0"/>
          <w:numId w:val="1"/>
        </w:numPr>
        <w:spacing w:after="80"/>
      </w:pPr>
      <w:r>
        <w:t xml:space="preserve">Tools used: Python, scikit-learn, XGBoost, SHAP, matplotlib/seaborn</w:t>
      </w:r>
    </w:p>
    <w:p>
      <w:pPr>
        <w:pStyle w:val="ListParagraph"/>
        <w:numPr>
          <w:ilvl w:val="0"/>
          <w:numId w:val="1"/>
        </w:numPr>
        <w:spacing w:after="80"/>
      </w:pPr>
      <w:r>
        <w:t xml:space="preserve">Dataset: NSL-KDD Network Intrusion Dataset (KDDTrain+ / KDDTest+)</w:t>
      </w:r>
    </w:p>
    <w:p>
      <w:pPr>
        <w:pStyle w:val="ListParagraph"/>
        <w:numPr>
          <w:ilvl w:val="0"/>
          <w:numId w:val="1"/>
        </w:numPr>
        <w:spacing w:after="80"/>
      </w:pPr>
      <w:r>
        <w:t xml:space="preserve">Deliverable: A working, modular ML prototype (supervised + unsupervised + hybrid pipeline) plus this case study report</w:t>
      </w:r>
    </w:p>
    <w:p>
      <w:pPr>
        <w:pStyle w:val="Heading1"/>
        <w:spacing w:after="200" w:before="400"/>
      </w:pPr>
      <w:r>
        <w:t xml:space="preserve">2. Overview</w:t>
      </w:r>
    </w:p>
    <w:p>
      <w:pPr>
        <w:spacing w:after="160"/>
      </w:pPr>
      <w:r>
        <w:t xml:space="preserve">Security teams cannot rely on a single detection strategy. A classifier trained on known attacks will confidently mislabel a genuinely new attack technique as normal traffic, simply because it has never seen anything like it before. Conversely, a purely anomaly-based system can flag unusual behaviour but cannot say what kind of attack it is dealing with, which slows down response.</w:t>
      </w:r>
    </w:p>
    <w:p>
      <w:pPr>
        <w:spacing w:after="160"/>
      </w:pPr>
      <w:r>
        <w:t xml:space="preserve">This case study documents the design and build of a hybrid intrusion detection prototype that answers three questions at once: is this connection an attack, which known category does it belong to if so, and — critically — should this be treated as a possible zero-day threat that a human analyst needs to look at? All three questions are answered using the NSL-KDD dataset, the standard academic benchmark for network intrusion detection research.</w:t>
      </w:r>
    </w:p>
    <w:p>
      <w:pPr>
        <w:pStyle w:val="Heading1"/>
        <w:spacing w:after="200" w:before="400"/>
      </w:pPr>
      <w:r>
        <w:t xml:space="preserve">3. Business / Security Problem</w:t>
      </w:r>
    </w:p>
    <w:p>
      <w:pPr>
        <w:spacing w:after="160"/>
      </w:pPr>
      <w:r>
        <w:t xml:space="preserve">Security Operations Centres (SOCs) typically face three connected problems when relying on machine learning-based intrusion detection:</w:t>
      </w:r>
    </w:p>
    <w:p>
      <w:pPr>
        <w:pStyle w:val="ListParagraph"/>
        <w:numPr>
          <w:ilvl w:val="0"/>
          <w:numId w:val="1"/>
        </w:numPr>
        <w:spacing w:after="80"/>
      </w:pPr>
      <w:r>
        <w:t xml:space="preserve">Known-attack blind spots — classifiers trained on historical attack data cannot recognize attack families they were never shown, and will often default to labeling them as Normal traffic with high confidence (demonstrated directly in Section 7).</w:t>
      </w:r>
    </w:p>
    <w:p>
      <w:pPr>
        <w:pStyle w:val="ListParagraph"/>
        <w:numPr>
          <w:ilvl w:val="0"/>
          <w:numId w:val="1"/>
        </w:numPr>
        <w:spacing w:after="80"/>
      </w:pPr>
      <w:r>
        <w:t xml:space="preserve">Alert fatigue from naive anomaly detection — a standalone anomaly detector with no context produces high false-positive rates if not calibrated carefully, wasting analyst time.</w:t>
      </w:r>
    </w:p>
    <w:p>
      <w:pPr>
        <w:pStyle w:val="ListParagraph"/>
        <w:numPr>
          <w:ilvl w:val="0"/>
          <w:numId w:val="1"/>
        </w:numPr>
        <w:spacing w:after="80"/>
      </w:pPr>
      <w:r>
        <w:t xml:space="preserve">No clear escalation path — most academic intrusion-detection projects report a single accuracy number and stop, without offering a mechanism to separate 'confidently known attack' from 'genuinely needs human review.'</w:t>
      </w:r>
    </w:p>
    <w:p>
      <w:pPr>
        <w:spacing w:after="160"/>
      </w:pPr>
      <w:r>
        <w:t xml:space="preserve">Goal: design a system that behaves the way a careful analyst would — trust a confident, corroborated known-attack call, but escalate anything ambiguous or statistically unusual instead of silently guessing.</w:t>
      </w:r>
    </w:p>
    <w:p>
      <w:pPr>
        <w:pStyle w:val="Heading1"/>
        <w:spacing w:after="200" w:before="400"/>
      </w:pPr>
      <w:r>
        <w:t xml:space="preserve">4. Dataset</w:t>
      </w:r>
    </w:p>
    <w:p>
      <w:pPr>
        <w:spacing w:after="120"/>
      </w:pPr>
      <w:r>
        <w:rPr>
          <w:b/>
          <w:bCs/>
        </w:rPr>
        <w:t xml:space="preserve">Name: </w:t>
      </w:r>
      <w:r>
        <w:t xml:space="preserve">NSL-KDD Network Intrusion Dataset — the de-duplicated, rebalanced successor to the original KDD Cup 1999 dataset, and the standard benchmark for network intrusion detection research.</w:t>
      </w:r>
    </w:p>
    <w:p>
      <w:pPr>
        <w:spacing w:after="120"/>
      </w:pPr>
      <w:r>
        <w:rPr>
          <w:b/>
          <w:bCs/>
        </w:rPr>
        <w:t xml:space="preserve">Files used: </w:t>
      </w:r>
      <w:r>
        <w:t xml:space="preserve">KDDTrain+.txt (125,973 rows) and KDDTest+.txt (22,544 rows), each with 41 features plus a label.</w:t>
      </w:r>
    </w:p>
    <w:p>
      <w:pPr>
        <w:spacing w:after="160"/>
      </w:pPr>
      <w:r>
        <w:t xml:space="preserve">NSL-KDD was used instead of the raw KDD Cup 1999 dataset because it removes duplicate records that make the original dataset artificially easy — evaluating on NSL-KDD's official train/test split produces realistic, non-inflated accuracy numbers.</w:t>
      </w:r>
    </w:p>
    <w:p>
      <w:pPr>
        <w:spacing w:after="160"/>
      </w:pPr>
      <w:r>
        <w:t xml:space="preserve">Critically, KDDTest+ contains 17 attack types that never appear anywhere in KDDTrain+ at all (apache2, httptunnel, mailbomb, mscan, named, processtable, ps, saint, sendmail, snmpgetattack, snmpguess, sqlattack, udpstorm, worm, xlock, xsnoop, xterm). This was verified programmatically by comparing the sets of attack labels in both files, not assumed. These 3,750 rows form the true zero-day evaluation set used throughout Section 7.</w:t>
      </w:r>
    </w:p>
    <w:p>
      <w:pPr>
        <w:pStyle w:val="Heading1"/>
        <w:spacing w:after="200" w:before="400"/>
      </w:pPr>
      <w:r>
        <w:t xml:space="preserve">5. KPIs / Evaluation Metrics Defined</w:t>
      </w:r>
    </w:p>
    <w:p>
      <w:pPr>
        <w:spacing w:after="160"/>
      </w:pPr>
      <w:r>
        <w:t xml:space="preserve">Before building any model, the metrics that would actually matter for this problem were defined up front — accuracy alone was ruled out early, since NSL-KDD is heavily imbalanced and a model can score 99% accuracy while missing nearly every rare attack.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shd w:fill="1F3864" w:val="clear"/>
            <w:tcMar>
              <w:top w:type="dxa" w:w="80"/>
              <w:left w:type="dxa" w:w="120"/>
              <w:bottom w:type="dxa" w:w="80"/>
              <w:right w:type="dxa" w:w="120"/>
            </w:tcMar>
            <w:vAlign w:val="center"/>
          </w:tcPr>
          <w:p>
            <w:r>
              <w:rPr>
                <w:b/>
                <w:bCs/>
                <w:color w:val="FFFFFF"/>
                <w:sz w:val="20"/>
                <w:szCs w:val="20"/>
              </w:rPr>
              <w:t xml:space="preserve">KPI</w:t>
            </w:r>
          </w:p>
        </w:tc>
        <w:tc>
          <w:tcPr>
            <w:tcW w:type="dxa" w:w="5700"/>
            <w:shd w:fill="1F3864" w:val="clear"/>
            <w:tcMar>
              <w:top w:type="dxa" w:w="80"/>
              <w:left w:type="dxa" w:w="120"/>
              <w:bottom w:type="dxa" w:w="80"/>
              <w:right w:type="dxa" w:w="120"/>
            </w:tcMar>
            <w:vAlign w:val="center"/>
          </w:tcPr>
          <w:p>
            <w:r>
              <w:rPr>
                <w:b/>
                <w:bCs/>
                <w:color w:val="FFFFFF"/>
                <w:sz w:val="20"/>
                <w:szCs w:val="20"/>
              </w:rPr>
              <w:t xml:space="preserve">Why it was chosen</w:t>
            </w:r>
          </w:p>
        </w:tc>
      </w:tr>
      <w:tr>
        <w:tc>
          <w:tcPr>
            <w:tcW w:type="dxa" w:w="3300"/>
            <w:shd w:fill="FFFFFF" w:val="clear"/>
            <w:tcMar>
              <w:top w:type="dxa" w:w="70"/>
              <w:left w:type="dxa" w:w="120"/>
              <w:bottom w:type="dxa" w:w="70"/>
              <w:right w:type="dxa" w:w="120"/>
            </w:tcMar>
            <w:vAlign w:val="center"/>
          </w:tcPr>
          <w:p>
            <w:r>
              <w:rPr>
                <w:sz w:val="20"/>
                <w:szCs w:val="20"/>
              </w:rPr>
              <w:t xml:space="preserve">Macro-averaged Precision/Recall/F1</w:t>
            </w:r>
          </w:p>
        </w:tc>
        <w:tc>
          <w:tcPr>
            <w:tcW w:type="dxa" w:w="5700"/>
            <w:shd w:fill="FFFFFF" w:val="clear"/>
            <w:tcMar>
              <w:top w:type="dxa" w:w="70"/>
              <w:left w:type="dxa" w:w="120"/>
              <w:bottom w:type="dxa" w:w="70"/>
              <w:right w:type="dxa" w:w="120"/>
            </w:tcMar>
            <w:vAlign w:val="center"/>
          </w:tcPr>
          <w:p>
            <w:r>
              <w:rPr>
                <w:sz w:val="20"/>
                <w:szCs w:val="20"/>
              </w:rPr>
              <w:t xml:space="preserve">Treats every attack class equally regardless of size — exposes rare-class failures that overall accuracy hides</w:t>
            </w:r>
          </w:p>
        </w:tc>
      </w:tr>
      <w:tr>
        <w:tc>
          <w:tcPr>
            <w:tcW w:type="dxa" w:w="3300"/>
            <w:shd w:fill="F3F6FA" w:val="clear"/>
            <w:tcMar>
              <w:top w:type="dxa" w:w="70"/>
              <w:left w:type="dxa" w:w="120"/>
              <w:bottom w:type="dxa" w:w="70"/>
              <w:right w:type="dxa" w:w="120"/>
            </w:tcMar>
            <w:vAlign w:val="center"/>
          </w:tcPr>
          <w:p>
            <w:r>
              <w:rPr>
                <w:sz w:val="20"/>
                <w:szCs w:val="20"/>
              </w:rPr>
              <w:t xml:space="preserve">Per-class recall (confusion matrix)</w:t>
            </w:r>
          </w:p>
        </w:tc>
        <w:tc>
          <w:tcPr>
            <w:tcW w:type="dxa" w:w="5700"/>
            <w:shd w:fill="F3F6FA" w:val="clear"/>
            <w:tcMar>
              <w:top w:type="dxa" w:w="70"/>
              <w:left w:type="dxa" w:w="120"/>
              <w:bottom w:type="dxa" w:w="70"/>
              <w:right w:type="dxa" w:w="120"/>
            </w:tcMar>
            <w:vAlign w:val="center"/>
          </w:tcPr>
          <w:p>
            <w:r>
              <w:rPr>
                <w:sz w:val="20"/>
                <w:szCs w:val="20"/>
              </w:rPr>
              <w:t xml:space="preserve">Shows exactly which attack types are being missed, and what they're being confused with</w:t>
            </w:r>
          </w:p>
        </w:tc>
      </w:tr>
      <w:tr>
        <w:tc>
          <w:tcPr>
            <w:tcW w:type="dxa" w:w="3300"/>
            <w:shd w:fill="FFFFFF" w:val="clear"/>
            <w:tcMar>
              <w:top w:type="dxa" w:w="70"/>
              <w:left w:type="dxa" w:w="120"/>
              <w:bottom w:type="dxa" w:w="70"/>
              <w:right w:type="dxa" w:w="120"/>
            </w:tcMar>
            <w:vAlign w:val="center"/>
          </w:tcPr>
          <w:p>
            <w:r>
              <w:rPr>
                <w:sz w:val="20"/>
                <w:szCs w:val="20"/>
              </w:rPr>
              <w:t xml:space="preserve">ROC-AUC / Average Precision (anomaly detectors)</w:t>
            </w:r>
          </w:p>
        </w:tc>
        <w:tc>
          <w:tcPr>
            <w:tcW w:type="dxa" w:w="5700"/>
            <w:shd w:fill="FFFFFF" w:val="clear"/>
            <w:tcMar>
              <w:top w:type="dxa" w:w="70"/>
              <w:left w:type="dxa" w:w="120"/>
              <w:bottom w:type="dxa" w:w="70"/>
              <w:right w:type="dxa" w:w="120"/>
            </w:tcMar>
            <w:vAlign w:val="center"/>
          </w:tcPr>
          <w:p>
            <w:r>
              <w:rPr>
                <w:sz w:val="20"/>
                <w:szCs w:val="20"/>
              </w:rPr>
              <w:t xml:space="preserve">Threshold-independent measure of how well an anomaly score separates Normal from Attack</w:t>
            </w:r>
          </w:p>
        </w:tc>
      </w:tr>
      <w:tr>
        <w:tc>
          <w:tcPr>
            <w:tcW w:type="dxa" w:w="3300"/>
            <w:shd w:fill="F3F6FA" w:val="clear"/>
            <w:tcMar>
              <w:top w:type="dxa" w:w="70"/>
              <w:left w:type="dxa" w:w="120"/>
              <w:bottom w:type="dxa" w:w="70"/>
              <w:right w:type="dxa" w:w="120"/>
            </w:tcMar>
            <w:vAlign w:val="center"/>
          </w:tcPr>
          <w:p>
            <w:r>
              <w:rPr>
                <w:sz w:val="20"/>
                <w:szCs w:val="20"/>
              </w:rPr>
              <w:t xml:space="preserve">True zero-day detection rate</w:t>
            </w:r>
          </w:p>
        </w:tc>
        <w:tc>
          <w:tcPr>
            <w:tcW w:type="dxa" w:w="5700"/>
            <w:shd w:fill="F3F6FA" w:val="clear"/>
            <w:tcMar>
              <w:top w:type="dxa" w:w="70"/>
              <w:left w:type="dxa" w:w="120"/>
              <w:bottom w:type="dxa" w:w="70"/>
              <w:right w:type="dxa" w:w="120"/>
            </w:tcMar>
            <w:vAlign w:val="center"/>
          </w:tcPr>
          <w:p>
            <w:r>
              <w:rPr>
                <w:sz w:val="20"/>
                <w:szCs w:val="20"/>
              </w:rPr>
              <w:t xml:space="preserve">Detection rate measured specifically on the 17 attack types absent from training — the real test of zero-day capability</w:t>
            </w:r>
          </w:p>
        </w:tc>
      </w:tr>
      <w:tr>
        <w:tc>
          <w:tcPr>
            <w:tcW w:type="dxa" w:w="3300"/>
            <w:shd w:fill="FFFFFF" w:val="clear"/>
            <w:tcMar>
              <w:top w:type="dxa" w:w="70"/>
              <w:left w:type="dxa" w:w="120"/>
              <w:bottom w:type="dxa" w:w="70"/>
              <w:right w:type="dxa" w:w="120"/>
            </w:tcMar>
            <w:vAlign w:val="center"/>
          </w:tcPr>
          <w:p>
            <w:r>
              <w:rPr>
                <w:sz w:val="20"/>
                <w:szCs w:val="20"/>
              </w:rPr>
              <w:t xml:space="preserve">Hybrid routing accuracy + false-alarm rate</w:t>
            </w:r>
          </w:p>
        </w:tc>
        <w:tc>
          <w:tcPr>
            <w:tcW w:type="dxa" w:w="5700"/>
            <w:shd w:fill="FFFFFF" w:val="clear"/>
            <w:tcMar>
              <w:top w:type="dxa" w:w="70"/>
              <w:left w:type="dxa" w:w="120"/>
              <w:bottom w:type="dxa" w:w="70"/>
              <w:right w:type="dxa" w:w="120"/>
            </w:tcMar>
            <w:vAlign w:val="center"/>
          </w:tcPr>
          <w:p>
            <w:r>
              <w:rPr>
                <w:sz w:val="20"/>
                <w:szCs w:val="20"/>
              </w:rPr>
              <w:t xml:space="preserve">Measures whether the combined system correctly escalates uncertain traffic without over-flagging normal traffic</w:t>
            </w:r>
          </w:p>
        </w:tc>
      </w:tr>
    </w:tbl>
    <w:p>
      <w:pPr>
        <w:pStyle w:val="Heading1"/>
        <w:spacing w:after="200" w:before="400"/>
      </w:pPr>
      <w:r>
        <w:t xml:space="preserve">6. System &amp; Model Design</w:t>
      </w:r>
    </w:p>
    <w:p>
      <w:pPr>
        <w:pStyle w:val="Heading2"/>
        <w:spacing w:after="150" w:before="300"/>
      </w:pPr>
      <w:r>
        <w:t xml:space="preserve">6.1 Architecture</w:t>
      </w:r>
    </w:p>
    <w:p>
      <w:pPr>
        <w:shd w:fill="F2F2F2" w:val="clear"/>
        <w:spacing w:after="0" w:line="260"/>
        <w:ind w:left="200"/>
      </w:pPr>
      <w:r>
        <w:rPr>
          <w:rFonts w:ascii="Consolas" w:cs="Consolas" w:eastAsia="Consolas" w:hAnsi="Consolas"/>
          <w:color w:val="1B1B1B"/>
          <w:sz w:val="18"/>
          <w:szCs w:val="18"/>
        </w:rPr>
        <w:t xml:space="preserve">Raw NSL-KDD traffic (41 features)</w:t>
      </w:r>
    </w:p>
    <w:p>
      <w:pPr>
        <w:shd w:fill="F2F2F2" w:val="clear"/>
        <w:spacing w:after="0" w:line="260"/>
        <w:ind w:left="200"/>
      </w:pPr>
      <w:r>
        <w:rPr>
          <w:rFonts w:ascii="Consolas" w:cs="Consolas" w:eastAsia="Consolas" w:hAnsi="Consolas"/>
          <w:color w:val="1B1B1B"/>
          <w:sz w:val="18"/>
          <w:szCs w:val="18"/>
        </w:rPr>
        <w:t xml:space="preserve">        |</w:t>
      </w:r>
    </w:p>
    <w:p>
      <w:pPr>
        <w:shd w:fill="F2F2F2" w:val="clear"/>
        <w:spacing w:after="0" w:line="260"/>
        <w:ind w:left="200"/>
      </w:pPr>
      <w:r>
        <w:rPr>
          <w:rFonts w:ascii="Consolas" w:cs="Consolas" w:eastAsia="Consolas" w:hAnsi="Consolas"/>
          <w:color w:val="1B1B1B"/>
          <w:sz w:val="18"/>
          <w:szCs w:val="18"/>
        </w:rPr>
        <w:t xml:space="preserve">        v</w:t>
      </w:r>
    </w:p>
    <w:p>
      <w:pPr>
        <w:shd w:fill="F2F2F2" w:val="clear"/>
        <w:spacing w:after="0" w:line="260"/>
        <w:ind w:left="200"/>
      </w:pPr>
      <w:r>
        <w:rPr>
          <w:rFonts w:ascii="Consolas" w:cs="Consolas" w:eastAsia="Consolas" w:hAnsi="Consolas"/>
          <w:color w:val="1B1B1B"/>
          <w:sz w:val="18"/>
          <w:szCs w:val="18"/>
        </w:rPr>
        <w:t xml:space="preserve">  Preprocessing (encode + scale, fit on train only)</w:t>
      </w:r>
    </w:p>
    <w:p>
      <w:pPr>
        <w:shd w:fill="F2F2F2" w:val="clear"/>
        <w:spacing w:after="0" w:line="260"/>
        <w:ind w:left="200"/>
      </w:pPr>
      <w:r>
        <w:rPr>
          <w:rFonts w:ascii="Consolas" w:cs="Consolas" w:eastAsia="Consolas" w:hAnsi="Consolas"/>
          <w:color w:val="1B1B1B"/>
          <w:sz w:val="18"/>
          <w:szCs w:val="18"/>
        </w:rPr>
        <w:t xml:space="preserve">        |</w:t>
      </w:r>
    </w:p>
    <w:p>
      <w:pPr>
        <w:shd w:fill="F2F2F2" w:val="clear"/>
        <w:spacing w:after="0" w:line="260"/>
        <w:ind w:left="200"/>
      </w:pPr>
      <w:r>
        <w:rPr>
          <w:rFonts w:ascii="Consolas" w:cs="Consolas" w:eastAsia="Consolas" w:hAnsi="Consolas"/>
          <w:color w:val="1B1B1B"/>
          <w:sz w:val="18"/>
          <w:szCs w:val="18"/>
        </w:rPr>
        <w:t xml:space="preserve">        +----------------------+</w:t>
      </w:r>
    </w:p>
    <w:p>
      <w:pPr>
        <w:shd w:fill="F2F2F2" w:val="clear"/>
        <w:spacing w:after="0" w:line="260"/>
        <w:ind w:left="200"/>
      </w:pPr>
      <w:r>
        <w:rPr>
          <w:rFonts w:ascii="Consolas" w:cs="Consolas" w:eastAsia="Consolas" w:hAnsi="Consolas"/>
          <w:color w:val="1B1B1B"/>
          <w:sz w:val="18"/>
          <w:szCs w:val="18"/>
        </w:rPr>
        <w:t xml:space="preserve">        v                      v</w:t>
      </w:r>
    </w:p>
    <w:p>
      <w:pPr>
        <w:shd w:fill="F2F2F2" w:val="clear"/>
        <w:spacing w:after="0" w:line="260"/>
        <w:ind w:left="200"/>
      </w:pPr>
      <w:r>
        <w:rPr>
          <w:rFonts w:ascii="Consolas" w:cs="Consolas" w:eastAsia="Consolas" w:hAnsi="Consolas"/>
          <w:color w:val="1B1B1B"/>
          <w:sz w:val="18"/>
          <w:szCs w:val="18"/>
        </w:rPr>
        <w:t xml:space="preserve">  PART 1: Classifier      PART 2: Anomaly Detector</w:t>
      </w:r>
    </w:p>
    <w:p>
      <w:pPr>
        <w:shd w:fill="F2F2F2" w:val="clear"/>
        <w:spacing w:after="0" w:line="260"/>
        <w:ind w:left="200"/>
      </w:pPr>
      <w:r>
        <w:rPr>
          <w:rFonts w:ascii="Consolas" w:cs="Consolas" w:eastAsia="Consolas" w:hAnsi="Consolas"/>
          <w:color w:val="1B1B1B"/>
          <w:sz w:val="18"/>
          <w:szCs w:val="18"/>
        </w:rPr>
        <w:t xml:space="preserve">  (XGBoost, 5-class)      (Isolation Forest,</w:t>
      </w:r>
    </w:p>
    <w:p>
      <w:pPr>
        <w:shd w:fill="F2F2F2" w:val="clear"/>
        <w:spacing w:after="0" w:line="260"/>
        <w:ind w:left="200"/>
      </w:pPr>
      <w:r>
        <w:rPr>
          <w:rFonts w:ascii="Consolas" w:cs="Consolas" w:eastAsia="Consolas" w:hAnsi="Consolas"/>
          <w:color w:val="1B1B1B"/>
          <w:sz w:val="18"/>
          <w:szCs w:val="18"/>
        </w:rPr>
        <w:t xml:space="preserve">  trained on all          trained ONLY on Normal</w:t>
      </w:r>
    </w:p>
    <w:p>
      <w:pPr>
        <w:shd w:fill="F2F2F2" w:val="clear"/>
        <w:spacing w:after="0" w:line="260"/>
        <w:ind w:left="200"/>
      </w:pPr>
      <w:r>
        <w:rPr>
          <w:rFonts w:ascii="Consolas" w:cs="Consolas" w:eastAsia="Consolas" w:hAnsi="Consolas"/>
          <w:color w:val="1B1B1B"/>
          <w:sz w:val="18"/>
          <w:szCs w:val="18"/>
        </w:rPr>
        <w:t xml:space="preserve">  labeled traffic)        traffic -- no attacks seen)</w:t>
      </w:r>
    </w:p>
    <w:p>
      <w:pPr>
        <w:shd w:fill="F2F2F2" w:val="clear"/>
        <w:spacing w:after="0" w:line="260"/>
        <w:ind w:left="200"/>
      </w:pPr>
      <w:r>
        <w:rPr>
          <w:rFonts w:ascii="Consolas" w:cs="Consolas" w:eastAsia="Consolas" w:hAnsi="Consolas"/>
          <w:color w:val="1B1B1B"/>
          <w:sz w:val="18"/>
          <w:szCs w:val="18"/>
        </w:rPr>
        <w:t xml:space="preserve">        |                      |</w:t>
      </w:r>
    </w:p>
    <w:p>
      <w:pPr>
        <w:shd w:fill="F2F2F2" w:val="clear"/>
        <w:spacing w:after="0" w:line="260"/>
        <w:ind w:left="200"/>
      </w:pPr>
      <w:r>
        <w:rPr>
          <w:rFonts w:ascii="Consolas" w:cs="Consolas" w:eastAsia="Consolas" w:hAnsi="Consolas"/>
          <w:color w:val="1B1B1B"/>
          <w:sz w:val="18"/>
          <w:szCs w:val="18"/>
        </w:rPr>
        <w:t xml:space="preserve">        +----------+-----------+</w:t>
      </w:r>
    </w:p>
    <w:p>
      <w:pPr>
        <w:shd w:fill="F2F2F2" w:val="clear"/>
        <w:spacing w:after="0" w:line="260"/>
        <w:ind w:left="200"/>
      </w:pPr>
      <w:r>
        <w:rPr>
          <w:rFonts w:ascii="Consolas" w:cs="Consolas" w:eastAsia="Consolas" w:hAnsi="Consolas"/>
          <w:color w:val="1B1B1B"/>
          <w:sz w:val="18"/>
          <w:szCs w:val="18"/>
        </w:rPr>
        <w:t xml:space="preserve">                   v</w:t>
      </w:r>
    </w:p>
    <w:p>
      <w:pPr>
        <w:shd w:fill="F2F2F2" w:val="clear"/>
        <w:spacing w:after="0" w:line="260"/>
        <w:ind w:left="200"/>
      </w:pPr>
      <w:r>
        <w:rPr>
          <w:rFonts w:ascii="Consolas" w:cs="Consolas" w:eastAsia="Consolas" w:hAnsi="Consolas"/>
          <w:color w:val="1B1B1B"/>
          <w:sz w:val="18"/>
          <w:szCs w:val="18"/>
        </w:rPr>
        <w:t xml:space="preserve">        PART 3: Hybrid Routing Pipeline</w:t>
      </w:r>
    </w:p>
    <w:p>
      <w:pPr>
        <w:shd w:fill="F2F2F2" w:val="clear"/>
        <w:spacing w:after="0" w:line="260"/>
        <w:ind w:left="200"/>
      </w:pPr>
      <w:r>
        <w:rPr>
          <w:rFonts w:ascii="Consolas" w:cs="Consolas" w:eastAsia="Consolas" w:hAnsi="Consolas"/>
          <w:color w:val="1B1B1B"/>
          <w:sz w:val="18"/>
          <w:szCs w:val="18"/>
        </w:rPr>
        <w:t xml:space="preserve">        - confident + not anomalous -&gt; trust classifier's label</w:t>
      </w:r>
    </w:p>
    <w:p>
      <w:pPr>
        <w:shd w:fill="F2F2F2" w:val="clear"/>
        <w:spacing w:after="0" w:line="260"/>
        <w:ind w:left="200"/>
      </w:pPr>
      <w:r>
        <w:rPr>
          <w:rFonts w:ascii="Consolas" w:cs="Consolas" w:eastAsia="Consolas" w:hAnsi="Consolas"/>
          <w:color w:val="1B1B1B"/>
          <w:sz w:val="18"/>
          <w:szCs w:val="18"/>
        </w:rPr>
        <w:t xml:space="preserve">        - unconfident OR anomaly disagrees -&gt; 'Unknown/Zero-Day Suspect'</w:t>
      </w:r>
    </w:p>
    <w:p>
      <w:pPr>
        <w:pStyle w:val="Heading2"/>
        <w:spacing w:after="150" w:before="300"/>
      </w:pPr>
      <w:r>
        <w:t xml:space="preserve">6.2 Data Preprocessing</w:t>
      </w:r>
    </w:p>
    <w:p>
      <w:pPr>
        <w:pStyle w:val="ListParagraph"/>
        <w:numPr>
          <w:ilvl w:val="0"/>
          <w:numId w:val="1"/>
        </w:numPr>
        <w:spacing w:after="80"/>
      </w:pPr>
      <w:r>
        <w:t xml:space="preserve">Categorical features (protocol_type, service, flag) — one-hot encoded, since these are nominal categories with no natural order. handle_unknown='ignore' ensures unseen service values in KDDTest+ don't crash the pipeline.</w:t>
      </w:r>
    </w:p>
    <w:p>
      <w:pPr>
        <w:pStyle w:val="ListParagraph"/>
        <w:numPr>
          <w:ilvl w:val="0"/>
          <w:numId w:val="1"/>
        </w:numPr>
        <w:spacing w:after="80"/>
      </w:pPr>
      <w:r>
        <w:t xml:space="preserve">Numeric features (38 columns) — StandardScaler, since several downstream models (Local Outlier Factor, PCA/autoencoder) are scale-sensitive.</w:t>
      </w:r>
    </w:p>
    <w:p>
      <w:pPr>
        <w:pStyle w:val="ListParagraph"/>
        <w:numPr>
          <w:ilvl w:val="0"/>
          <w:numId w:val="1"/>
        </w:numPr>
        <w:spacing w:after="80"/>
      </w:pPr>
      <w:r>
        <w:t xml:space="preserve">Class imbalance — handled via class_weight='balanced' / sample-weighting rather than SMOTE, because U2R has only 52 training rows across a 122-dimensional encoded space; synthetic interpolation at that scale risks fabricating unrealistic 'attacks.'</w:t>
      </w:r>
    </w:p>
    <w:p>
      <w:pPr>
        <w:pStyle w:val="ListParagraph"/>
        <w:numPr>
          <w:ilvl w:val="0"/>
          <w:numId w:val="1"/>
        </w:numPr>
        <w:spacing w:after="80"/>
      </w:pPr>
      <w:r>
        <w:t xml:space="preserve">No data leakage — all preprocessing is fit exclusively on KDDTrain+; KDDTest+ only ever passes through .transform().</w:t>
      </w:r>
    </w:p>
    <w:p>
      <w:pPr>
        <w:pStyle w:val="Heading2"/>
        <w:spacing w:after="150" w:before="300"/>
      </w:pPr>
      <w:r>
        <w:t xml:space="preserve">6.3 Model Design — Part 1: Supervised Classification</w:t>
      </w:r>
    </w:p>
    <w:p>
      <w:pPr>
        <w:spacing w:after="160"/>
      </w:pPr>
      <w:r>
        <w:t xml:space="preserve">Three models were trained and compared on both a binary task (Normal vs Attack) and a multiclass task (Normal/DoS/Probe/R2L/U2R): Decision Tree, Random Forest, and XGBoost.</w:t>
      </w:r>
    </w:p>
    <w:p>
      <w:pPr>
        <w:pStyle w:val="Heading2"/>
        <w:spacing w:after="150" w:before="300"/>
      </w:pPr>
      <w:r>
        <w:t xml:space="preserve">6.4 Model Design — Part 2: Unsupervised Anomaly Detection</w:t>
      </w:r>
    </w:p>
    <w:p>
      <w:pPr>
        <w:spacing w:after="160"/>
      </w:pPr>
      <w:r>
        <w:t xml:space="preserve">Three anomaly detectors were trained using only the 67,343 Normal-labeled rows from KDDTrain+ — no attack signatures of any kind were shown during training, directly simulating the zero-day scenario. Isolation Forest, Local Outlier Factor, and a PCA-reconstruction-error detector (with an optional real autoencoder if TensorFlow is available) were compared.</w:t>
      </w:r>
    </w:p>
    <w:p>
      <w:pPr>
        <w:pStyle w:val="Heading2"/>
        <w:spacing w:after="150" w:before="300"/>
      </w:pPr>
      <w:r>
        <w:t xml:space="preserve">6.5 Model Design — Part 3: Hybrid Combined Pipeline</w:t>
      </w:r>
    </w:p>
    <w:p>
      <w:pPr>
        <w:spacing w:after="160"/>
      </w:pPr>
      <w:r>
        <w:t xml:space="preserve">The best classifier (XGBoost) and the best anomaly detector (Isolation Forest) are combined using an explicit decision rule: if the classifier is confident (predicted-class probability ≥ 0.60) and the anomaly detector doesn't disagree, the classifier's label is trusted; otherwise, the connection is routed to an 'Unknown/Zero-Day Suspect' bucket. The 0.60 threshold was chosen empirically from where correct-prediction confidence clusters on validation data.</w:t>
      </w:r>
    </w:p>
    <w:p>
      <w:pPr>
        <w:pStyle w:val="Heading2"/>
        <w:spacing w:after="150" w:before="300"/>
      </w:pPr>
      <w:r>
        <w:t xml:space="preserve">6.6 Explainability Design</w:t>
      </w:r>
    </w:p>
    <w:p>
      <w:pPr>
        <w:spacing w:after="160"/>
      </w:pPr>
      <w:r>
        <w:t xml:space="preserve">A SHAP (SHapley Additive exPlanations) analysis layer sits on top of the Part 1 classifier using shap.TreeExplainer, which computes exact SHAP values for tree ensembles. This produces global feature-importance rankings, per-class impact plots, and individual case-level explanations — directly answering 'why did the model decide this?' for any given connection.</w:t>
      </w:r>
    </w:p>
    <w:p>
      <w:pPr>
        <w:pStyle w:val="Heading2"/>
        <w:spacing w:after="150" w:before="300"/>
      </w:pPr>
      <w:r>
        <w:t xml:space="preserve">6.7 Tools &amp;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val="clear"/>
            <w:tcMar>
              <w:top w:type="dxa" w:w="80"/>
              <w:left w:type="dxa" w:w="120"/>
              <w:bottom w:type="dxa" w:w="80"/>
              <w:right w:type="dxa" w:w="120"/>
            </w:tcMar>
            <w:vAlign w:val="center"/>
          </w:tcPr>
          <w:p>
            <w:r>
              <w:rPr>
                <w:b/>
                <w:bCs/>
                <w:color w:val="FFFFFF"/>
                <w:sz w:val="20"/>
                <w:szCs w:val="20"/>
              </w:rPr>
              <w:t xml:space="preserve">Component</w:t>
            </w:r>
          </w:p>
        </w:tc>
        <w:tc>
          <w:tcPr>
            <w:tcW w:type="dxa" w:w="6000"/>
            <w:shd w:fill="1F3864" w:val="clear"/>
            <w:tcMar>
              <w:top w:type="dxa" w:w="80"/>
              <w:left w:type="dxa" w:w="120"/>
              <w:bottom w:type="dxa" w:w="80"/>
              <w:right w:type="dxa" w:w="120"/>
            </w:tcMar>
            <w:vAlign w:val="center"/>
          </w:tcPr>
          <w:p>
            <w:r>
              <w:rPr>
                <w:b/>
                <w:bCs/>
                <w:color w:val="FFFFFF"/>
                <w:sz w:val="20"/>
                <w:szCs w:val="20"/>
              </w:rPr>
              <w:t xml:space="preserve">Tool / Library</w:t>
            </w:r>
          </w:p>
        </w:tc>
      </w:tr>
      <w:tr>
        <w:tc>
          <w:tcPr>
            <w:tcW w:type="dxa" w:w="3000"/>
            <w:shd w:fill="FFFFFF" w:val="clear"/>
            <w:tcMar>
              <w:top w:type="dxa" w:w="70"/>
              <w:left w:type="dxa" w:w="120"/>
              <w:bottom w:type="dxa" w:w="70"/>
              <w:right w:type="dxa" w:w="120"/>
            </w:tcMar>
            <w:vAlign w:val="center"/>
          </w:tcPr>
          <w:p>
            <w:r>
              <w:rPr>
                <w:sz w:val="20"/>
                <w:szCs w:val="20"/>
              </w:rPr>
              <w:t xml:space="preserve">Language</w:t>
            </w:r>
          </w:p>
        </w:tc>
        <w:tc>
          <w:tcPr>
            <w:tcW w:type="dxa" w:w="6000"/>
            <w:shd w:fill="FFFFFF" w:val="clear"/>
            <w:tcMar>
              <w:top w:type="dxa" w:w="70"/>
              <w:left w:type="dxa" w:w="120"/>
              <w:bottom w:type="dxa" w:w="70"/>
              <w:right w:type="dxa" w:w="120"/>
            </w:tcMar>
            <w:vAlign w:val="center"/>
          </w:tcPr>
          <w:p>
            <w:r>
              <w:rPr>
                <w:sz w:val="20"/>
                <w:szCs w:val="20"/>
              </w:rPr>
              <w:t xml:space="preserve">Python 3.12</w:t>
            </w:r>
          </w:p>
        </w:tc>
      </w:tr>
      <w:tr>
        <w:tc>
          <w:tcPr>
            <w:tcW w:type="dxa" w:w="3000"/>
            <w:shd w:fill="F3F6FA" w:val="clear"/>
            <w:tcMar>
              <w:top w:type="dxa" w:w="70"/>
              <w:left w:type="dxa" w:w="120"/>
              <w:bottom w:type="dxa" w:w="70"/>
              <w:right w:type="dxa" w:w="120"/>
            </w:tcMar>
            <w:vAlign w:val="center"/>
          </w:tcPr>
          <w:p>
            <w:r>
              <w:rPr>
                <w:sz w:val="20"/>
                <w:szCs w:val="20"/>
              </w:rPr>
              <w:t xml:space="preserve">Data handling</w:t>
            </w:r>
          </w:p>
        </w:tc>
        <w:tc>
          <w:tcPr>
            <w:tcW w:type="dxa" w:w="6000"/>
            <w:shd w:fill="F3F6FA" w:val="clear"/>
            <w:tcMar>
              <w:top w:type="dxa" w:w="70"/>
              <w:left w:type="dxa" w:w="120"/>
              <w:bottom w:type="dxa" w:w="70"/>
              <w:right w:type="dxa" w:w="120"/>
            </w:tcMar>
            <w:vAlign w:val="center"/>
          </w:tcPr>
          <w:p>
            <w:r>
              <w:rPr>
                <w:sz w:val="20"/>
                <w:szCs w:val="20"/>
              </w:rPr>
              <w:t xml:space="preserve">pandas, numpy</w:t>
            </w:r>
          </w:p>
        </w:tc>
      </w:tr>
      <w:tr>
        <w:tc>
          <w:tcPr>
            <w:tcW w:type="dxa" w:w="3000"/>
            <w:shd w:fill="FFFFFF" w:val="clear"/>
            <w:tcMar>
              <w:top w:type="dxa" w:w="70"/>
              <w:left w:type="dxa" w:w="120"/>
              <w:bottom w:type="dxa" w:w="70"/>
              <w:right w:type="dxa" w:w="120"/>
            </w:tcMar>
            <w:vAlign w:val="center"/>
          </w:tcPr>
          <w:p>
            <w:r>
              <w:rPr>
                <w:sz w:val="20"/>
                <w:szCs w:val="20"/>
              </w:rPr>
              <w:t xml:space="preserve">Classical ML models</w:t>
            </w:r>
          </w:p>
        </w:tc>
        <w:tc>
          <w:tcPr>
            <w:tcW w:type="dxa" w:w="6000"/>
            <w:shd w:fill="FFFFFF" w:val="clear"/>
            <w:tcMar>
              <w:top w:type="dxa" w:w="70"/>
              <w:left w:type="dxa" w:w="120"/>
              <w:bottom w:type="dxa" w:w="70"/>
              <w:right w:type="dxa" w:w="120"/>
            </w:tcMar>
            <w:vAlign w:val="center"/>
          </w:tcPr>
          <w:p>
            <w:r>
              <w:rPr>
                <w:sz w:val="20"/>
                <w:szCs w:val="20"/>
              </w:rPr>
              <w:t xml:space="preserve">scikit-learn (Decision Tree, Random Forest, Isolation Forest, Local Outlier Factor, PCA)</w:t>
            </w:r>
          </w:p>
        </w:tc>
      </w:tr>
      <w:tr>
        <w:tc>
          <w:tcPr>
            <w:tcW w:type="dxa" w:w="3000"/>
            <w:shd w:fill="F3F6FA" w:val="clear"/>
            <w:tcMar>
              <w:top w:type="dxa" w:w="70"/>
              <w:left w:type="dxa" w:w="120"/>
              <w:bottom w:type="dxa" w:w="70"/>
              <w:right w:type="dxa" w:w="120"/>
            </w:tcMar>
            <w:vAlign w:val="center"/>
          </w:tcPr>
          <w:p>
            <w:r>
              <w:rPr>
                <w:sz w:val="20"/>
                <w:szCs w:val="20"/>
              </w:rPr>
              <w:t xml:space="preserve">Gradient boosting</w:t>
            </w:r>
          </w:p>
        </w:tc>
        <w:tc>
          <w:tcPr>
            <w:tcW w:type="dxa" w:w="6000"/>
            <w:shd w:fill="F3F6FA" w:val="clear"/>
            <w:tcMar>
              <w:top w:type="dxa" w:w="70"/>
              <w:left w:type="dxa" w:w="120"/>
              <w:bottom w:type="dxa" w:w="70"/>
              <w:right w:type="dxa" w:w="120"/>
            </w:tcMar>
            <w:vAlign w:val="center"/>
          </w:tcPr>
          <w:p>
            <w:r>
              <w:rPr>
                <w:sz w:val="20"/>
                <w:szCs w:val="20"/>
              </w:rPr>
              <w:t xml:space="preserve">XGBoost</w:t>
            </w:r>
          </w:p>
        </w:tc>
      </w:tr>
      <w:tr>
        <w:tc>
          <w:tcPr>
            <w:tcW w:type="dxa" w:w="3000"/>
            <w:shd w:fill="FFFFFF" w:val="clear"/>
            <w:tcMar>
              <w:top w:type="dxa" w:w="70"/>
              <w:left w:type="dxa" w:w="120"/>
              <w:bottom w:type="dxa" w:w="70"/>
              <w:right w:type="dxa" w:w="120"/>
            </w:tcMar>
            <w:vAlign w:val="center"/>
          </w:tcPr>
          <w:p>
            <w:r>
              <w:rPr>
                <w:sz w:val="20"/>
                <w:szCs w:val="20"/>
              </w:rPr>
              <w:t xml:space="preserve">Imbalance handling</w:t>
            </w:r>
          </w:p>
        </w:tc>
        <w:tc>
          <w:tcPr>
            <w:tcW w:type="dxa" w:w="6000"/>
            <w:shd w:fill="FFFFFF" w:val="clear"/>
            <w:tcMar>
              <w:top w:type="dxa" w:w="70"/>
              <w:left w:type="dxa" w:w="120"/>
              <w:bottom w:type="dxa" w:w="70"/>
              <w:right w:type="dxa" w:w="120"/>
            </w:tcMar>
            <w:vAlign w:val="center"/>
          </w:tcPr>
          <w:p>
            <w:r>
              <w:rPr>
                <w:sz w:val="20"/>
                <w:szCs w:val="20"/>
              </w:rPr>
              <w:t xml:space="preserve">class_weight balancing; imbalanced-learn available for SMOTE ablation</w:t>
            </w:r>
          </w:p>
        </w:tc>
      </w:tr>
      <w:tr>
        <w:tc>
          <w:tcPr>
            <w:tcW w:type="dxa" w:w="3000"/>
            <w:shd w:fill="F3F6FA" w:val="clear"/>
            <w:tcMar>
              <w:top w:type="dxa" w:w="70"/>
              <w:left w:type="dxa" w:w="120"/>
              <w:bottom w:type="dxa" w:w="70"/>
              <w:right w:type="dxa" w:w="120"/>
            </w:tcMar>
            <w:vAlign w:val="center"/>
          </w:tcPr>
          <w:p>
            <w:r>
              <w:rPr>
                <w:sz w:val="20"/>
                <w:szCs w:val="20"/>
              </w:rPr>
              <w:t xml:space="preserve">Explainability</w:t>
            </w:r>
          </w:p>
        </w:tc>
        <w:tc>
          <w:tcPr>
            <w:tcW w:type="dxa" w:w="6000"/>
            <w:shd w:fill="F3F6FA" w:val="clear"/>
            <w:tcMar>
              <w:top w:type="dxa" w:w="70"/>
              <w:left w:type="dxa" w:w="120"/>
              <w:bottom w:type="dxa" w:w="70"/>
              <w:right w:type="dxa" w:w="120"/>
            </w:tcMar>
            <w:vAlign w:val="center"/>
          </w:tcPr>
          <w:p>
            <w:r>
              <w:rPr>
                <w:sz w:val="20"/>
                <w:szCs w:val="20"/>
              </w:rPr>
              <w:t xml:space="preserve">SHAP (TreeExplainer)</w:t>
            </w:r>
          </w:p>
        </w:tc>
      </w:tr>
      <w:tr>
        <w:tc>
          <w:tcPr>
            <w:tcW w:type="dxa" w:w="3000"/>
            <w:shd w:fill="FFFFFF" w:val="clear"/>
            <w:tcMar>
              <w:top w:type="dxa" w:w="70"/>
              <w:left w:type="dxa" w:w="120"/>
              <w:bottom w:type="dxa" w:w="70"/>
              <w:right w:type="dxa" w:w="120"/>
            </w:tcMar>
            <w:vAlign w:val="center"/>
          </w:tcPr>
          <w:p>
            <w:r>
              <w:rPr>
                <w:sz w:val="20"/>
                <w:szCs w:val="20"/>
              </w:rPr>
              <w:t xml:space="preserve">Visualization</w:t>
            </w:r>
          </w:p>
        </w:tc>
        <w:tc>
          <w:tcPr>
            <w:tcW w:type="dxa" w:w="6000"/>
            <w:shd w:fill="FFFFFF" w:val="clear"/>
            <w:tcMar>
              <w:top w:type="dxa" w:w="70"/>
              <w:left w:type="dxa" w:w="120"/>
              <w:bottom w:type="dxa" w:w="70"/>
              <w:right w:type="dxa" w:w="120"/>
            </w:tcMar>
            <w:vAlign w:val="center"/>
          </w:tcPr>
          <w:p>
            <w:r>
              <w:rPr>
                <w:sz w:val="20"/>
                <w:szCs w:val="20"/>
              </w:rPr>
              <w:t xml:space="preserve">matplotlib, seaborn</w:t>
            </w:r>
          </w:p>
        </w:tc>
      </w:tr>
      <w:tr>
        <w:tc>
          <w:tcPr>
            <w:tcW w:type="dxa" w:w="3000"/>
            <w:shd w:fill="F3F6FA" w:val="clear"/>
            <w:tcMar>
              <w:top w:type="dxa" w:w="70"/>
              <w:left w:type="dxa" w:w="120"/>
              <w:bottom w:type="dxa" w:w="70"/>
              <w:right w:type="dxa" w:w="120"/>
            </w:tcMar>
            <w:vAlign w:val="center"/>
          </w:tcPr>
          <w:p>
            <w:r>
              <w:rPr>
                <w:sz w:val="20"/>
                <w:szCs w:val="20"/>
              </w:rPr>
              <w:t xml:space="preserve">Optional deep learning</w:t>
            </w:r>
          </w:p>
        </w:tc>
        <w:tc>
          <w:tcPr>
            <w:tcW w:type="dxa" w:w="6000"/>
            <w:shd w:fill="F3F6FA" w:val="clear"/>
            <w:tcMar>
              <w:top w:type="dxa" w:w="70"/>
              <w:left w:type="dxa" w:w="120"/>
              <w:bottom w:type="dxa" w:w="70"/>
              <w:right w:type="dxa" w:w="120"/>
            </w:tcMar>
            <w:vAlign w:val="center"/>
          </w:tcPr>
          <w:p>
            <w:r>
              <w:rPr>
                <w:sz w:val="20"/>
                <w:szCs w:val="20"/>
              </w:rPr>
              <w:t xml:space="preserve">TensorFlow/Keras (autoencoder, with automatic PCA fallback)</w:t>
            </w:r>
          </w:p>
        </w:tc>
      </w:tr>
    </w:tbl>
    <w:p>
      <w:pPr>
        <w:pStyle w:val="Heading1"/>
        <w:spacing w:after="200" w:before="400"/>
      </w:pPr>
      <w:r>
        <w:t xml:space="preserve">7. Key Insights Surfaced</w:t>
      </w:r>
    </w:p>
    <w:p>
      <w:pPr>
        <w:pStyle w:val="Heading2"/>
        <w:spacing w:after="150" w:before="300"/>
      </w:pPr>
      <w:r>
        <w:t xml:space="preserve">7.1 Part 1 — Supervised Classification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1400"/>
        <w:gridCol w:w="1900"/>
        <w:gridCol w:w="1600"/>
        <w:gridCol w:w="1400"/>
      </w:tblGrid>
      <w:tr>
        <w:tc>
          <w:tcPr>
            <w:tcW w:type="dxa" w:w="1400"/>
            <w:shd w:fill="1F3864" w:val="clear"/>
            <w:tcMar>
              <w:top w:type="dxa" w:w="80"/>
              <w:left w:type="dxa" w:w="120"/>
              <w:bottom w:type="dxa" w:w="80"/>
              <w:right w:type="dxa" w:w="120"/>
            </w:tcMar>
            <w:vAlign w:val="center"/>
          </w:tcPr>
          <w:p>
            <w:r>
              <w:rPr>
                <w:b/>
                <w:bCs/>
                <w:color w:val="FFFFFF"/>
                <w:sz w:val="20"/>
                <w:szCs w:val="20"/>
              </w:rPr>
              <w:t xml:space="preserve">Task</w:t>
            </w:r>
          </w:p>
        </w:tc>
        <w:tc>
          <w:tcPr>
            <w:tcW w:type="dxa" w:w="2100"/>
            <w:shd w:fill="1F3864" w:val="clear"/>
            <w:tcMar>
              <w:top w:type="dxa" w:w="80"/>
              <w:left w:type="dxa" w:w="120"/>
              <w:bottom w:type="dxa" w:w="80"/>
              <w:right w:type="dxa" w:w="120"/>
            </w:tcMar>
            <w:vAlign w:val="center"/>
          </w:tcPr>
          <w:p>
            <w:r>
              <w:rPr>
                <w:b/>
                <w:bCs/>
                <w:color w:val="FFFFFF"/>
                <w:sz w:val="20"/>
                <w:szCs w:val="20"/>
              </w:rPr>
              <w:t xml:space="preserve">Model</w:t>
            </w:r>
          </w:p>
        </w:tc>
        <w:tc>
          <w:tcPr>
            <w:tcW w:type="dxa" w:w="1400"/>
            <w:shd w:fill="1F3864" w:val="clear"/>
            <w:tcMar>
              <w:top w:type="dxa" w:w="80"/>
              <w:left w:type="dxa" w:w="120"/>
              <w:bottom w:type="dxa" w:w="80"/>
              <w:right w:type="dxa" w:w="120"/>
            </w:tcMar>
            <w:vAlign w:val="center"/>
          </w:tcPr>
          <w:p>
            <w:r>
              <w:rPr>
                <w:b/>
                <w:bCs/>
                <w:color w:val="FFFFFF"/>
                <w:sz w:val="20"/>
                <w:szCs w:val="20"/>
              </w:rPr>
              <w:t xml:space="preserve">Accuracy</w:t>
            </w:r>
          </w:p>
        </w:tc>
        <w:tc>
          <w:tcPr>
            <w:tcW w:type="dxa" w:w="1900"/>
            <w:shd w:fill="1F3864" w:val="clear"/>
            <w:tcMar>
              <w:top w:type="dxa" w:w="80"/>
              <w:left w:type="dxa" w:w="120"/>
              <w:bottom w:type="dxa" w:w="80"/>
              <w:right w:type="dxa" w:w="120"/>
            </w:tcMar>
            <w:vAlign w:val="center"/>
          </w:tcPr>
          <w:p>
            <w:r>
              <w:rPr>
                <w:b/>
                <w:bCs/>
                <w:color w:val="FFFFFF"/>
                <w:sz w:val="20"/>
                <w:szCs w:val="20"/>
              </w:rPr>
              <w:t xml:space="preserve">Precision (macro)</w:t>
            </w:r>
          </w:p>
        </w:tc>
        <w:tc>
          <w:tcPr>
            <w:tcW w:type="dxa" w:w="1600"/>
            <w:shd w:fill="1F3864" w:val="clear"/>
            <w:tcMar>
              <w:top w:type="dxa" w:w="80"/>
              <w:left w:type="dxa" w:w="120"/>
              <w:bottom w:type="dxa" w:w="80"/>
              <w:right w:type="dxa" w:w="120"/>
            </w:tcMar>
            <w:vAlign w:val="center"/>
          </w:tcPr>
          <w:p>
            <w:r>
              <w:rPr>
                <w:b/>
                <w:bCs/>
                <w:color w:val="FFFFFF"/>
                <w:sz w:val="20"/>
                <w:szCs w:val="20"/>
              </w:rPr>
              <w:t xml:space="preserve">Recall (macro)</w:t>
            </w:r>
          </w:p>
        </w:tc>
        <w:tc>
          <w:tcPr>
            <w:tcW w:type="dxa" w:w="1400"/>
            <w:shd w:fill="1F3864" w:val="clear"/>
            <w:tcMar>
              <w:top w:type="dxa" w:w="80"/>
              <w:left w:type="dxa" w:w="120"/>
              <w:bottom w:type="dxa" w:w="80"/>
              <w:right w:type="dxa" w:w="120"/>
            </w:tcMar>
            <w:vAlign w:val="center"/>
          </w:tcPr>
          <w:p>
            <w:r>
              <w:rPr>
                <w:b/>
                <w:bCs/>
                <w:color w:val="FFFFFF"/>
                <w:sz w:val="20"/>
                <w:szCs w:val="20"/>
              </w:rPr>
              <w:t xml:space="preserve">F1 (macro)</w:t>
            </w:r>
          </w:p>
        </w:tc>
      </w:tr>
      <w:tr>
        <w:tc>
          <w:tcPr>
            <w:tcW w:type="dxa" w:w="1400"/>
            <w:shd w:fill="FFFFFF" w:val="clear"/>
            <w:tcMar>
              <w:top w:type="dxa" w:w="70"/>
              <w:left w:type="dxa" w:w="120"/>
              <w:bottom w:type="dxa" w:w="70"/>
              <w:right w:type="dxa" w:w="120"/>
            </w:tcMar>
            <w:vAlign w:val="center"/>
          </w:tcPr>
          <w:p>
            <w:r>
              <w:rPr>
                <w:sz w:val="20"/>
                <w:szCs w:val="20"/>
              </w:rPr>
              <w:t xml:space="preserve">Binary</w:t>
            </w:r>
          </w:p>
        </w:tc>
        <w:tc>
          <w:tcPr>
            <w:tcW w:type="dxa" w:w="2100"/>
            <w:shd w:fill="FFFFFF" w:val="clear"/>
            <w:tcMar>
              <w:top w:type="dxa" w:w="70"/>
              <w:left w:type="dxa" w:w="120"/>
              <w:bottom w:type="dxa" w:w="70"/>
              <w:right w:type="dxa" w:w="120"/>
            </w:tcMar>
            <w:vAlign w:val="center"/>
          </w:tcPr>
          <w:p>
            <w:r>
              <w:rPr>
                <w:sz w:val="20"/>
                <w:szCs w:val="20"/>
              </w:rPr>
              <w:t xml:space="preserve">Decision Tree</w:t>
            </w:r>
          </w:p>
        </w:tc>
        <w:tc>
          <w:tcPr>
            <w:tcW w:type="dxa" w:w="1400"/>
            <w:shd w:fill="FFFFFF" w:val="clear"/>
            <w:tcMar>
              <w:top w:type="dxa" w:w="70"/>
              <w:left w:type="dxa" w:w="120"/>
              <w:bottom w:type="dxa" w:w="70"/>
              <w:right w:type="dxa" w:w="120"/>
            </w:tcMar>
            <w:vAlign w:val="center"/>
          </w:tcPr>
          <w:p>
            <w:r>
              <w:rPr>
                <w:sz w:val="20"/>
                <w:szCs w:val="20"/>
              </w:rPr>
              <w:t xml:space="preserve">0.778</w:t>
            </w:r>
          </w:p>
        </w:tc>
        <w:tc>
          <w:tcPr>
            <w:tcW w:type="dxa" w:w="1900"/>
            <w:shd w:fill="FFFFFF" w:val="clear"/>
            <w:tcMar>
              <w:top w:type="dxa" w:w="70"/>
              <w:left w:type="dxa" w:w="120"/>
              <w:bottom w:type="dxa" w:w="70"/>
              <w:right w:type="dxa" w:w="120"/>
            </w:tcMar>
            <w:vAlign w:val="center"/>
          </w:tcPr>
          <w:p>
            <w:r>
              <w:rPr>
                <w:sz w:val="20"/>
                <w:szCs w:val="20"/>
              </w:rPr>
              <w:t xml:space="preserve">0.815</w:t>
            </w:r>
          </w:p>
        </w:tc>
        <w:tc>
          <w:tcPr>
            <w:tcW w:type="dxa" w:w="1600"/>
            <w:shd w:fill="FFFFFF" w:val="clear"/>
            <w:tcMar>
              <w:top w:type="dxa" w:w="70"/>
              <w:left w:type="dxa" w:w="120"/>
              <w:bottom w:type="dxa" w:w="70"/>
              <w:right w:type="dxa" w:w="120"/>
            </w:tcMar>
            <w:vAlign w:val="center"/>
          </w:tcPr>
          <w:p>
            <w:r>
              <w:rPr>
                <w:sz w:val="20"/>
                <w:szCs w:val="20"/>
              </w:rPr>
              <w:t xml:space="preserve">0.801</w:t>
            </w:r>
          </w:p>
        </w:tc>
        <w:tc>
          <w:tcPr>
            <w:tcW w:type="dxa" w:w="1400"/>
            <w:shd w:fill="FFFFFF" w:val="clear"/>
            <w:tcMar>
              <w:top w:type="dxa" w:w="70"/>
              <w:left w:type="dxa" w:w="120"/>
              <w:bottom w:type="dxa" w:w="70"/>
              <w:right w:type="dxa" w:w="120"/>
            </w:tcMar>
            <w:vAlign w:val="center"/>
          </w:tcPr>
          <w:p>
            <w:r>
              <w:rPr>
                <w:sz w:val="20"/>
                <w:szCs w:val="20"/>
              </w:rPr>
              <w:t xml:space="preserve">0.777</w:t>
            </w:r>
          </w:p>
        </w:tc>
      </w:tr>
      <w:tr>
        <w:tc>
          <w:tcPr>
            <w:tcW w:type="dxa" w:w="1400"/>
            <w:shd w:fill="F3F6FA" w:val="clear"/>
            <w:tcMar>
              <w:top w:type="dxa" w:w="70"/>
              <w:left w:type="dxa" w:w="120"/>
              <w:bottom w:type="dxa" w:w="70"/>
              <w:right w:type="dxa" w:w="120"/>
            </w:tcMar>
            <w:vAlign w:val="center"/>
          </w:tcPr>
          <w:p>
            <w:r>
              <w:rPr>
                <w:sz w:val="20"/>
                <w:szCs w:val="20"/>
              </w:rPr>
              <w:t xml:space="preserve">Binary</w:t>
            </w:r>
          </w:p>
        </w:tc>
        <w:tc>
          <w:tcPr>
            <w:tcW w:type="dxa" w:w="2100"/>
            <w:shd w:fill="F3F6FA" w:val="clear"/>
            <w:tcMar>
              <w:top w:type="dxa" w:w="70"/>
              <w:left w:type="dxa" w:w="120"/>
              <w:bottom w:type="dxa" w:w="70"/>
              <w:right w:type="dxa" w:w="120"/>
            </w:tcMar>
            <w:vAlign w:val="center"/>
          </w:tcPr>
          <w:p>
            <w:r>
              <w:rPr>
                <w:sz w:val="20"/>
                <w:szCs w:val="20"/>
              </w:rPr>
              <w:t xml:space="preserve">Random Forest</w:t>
            </w:r>
          </w:p>
        </w:tc>
        <w:tc>
          <w:tcPr>
            <w:tcW w:type="dxa" w:w="1400"/>
            <w:shd w:fill="F3F6FA" w:val="clear"/>
            <w:tcMar>
              <w:top w:type="dxa" w:w="70"/>
              <w:left w:type="dxa" w:w="120"/>
              <w:bottom w:type="dxa" w:w="70"/>
              <w:right w:type="dxa" w:w="120"/>
            </w:tcMar>
            <w:vAlign w:val="center"/>
          </w:tcPr>
          <w:p>
            <w:r>
              <w:rPr>
                <w:sz w:val="20"/>
                <w:szCs w:val="20"/>
              </w:rPr>
              <w:t xml:space="preserve">0.779</w:t>
            </w:r>
          </w:p>
        </w:tc>
        <w:tc>
          <w:tcPr>
            <w:tcW w:type="dxa" w:w="1900"/>
            <w:shd w:fill="F3F6FA" w:val="clear"/>
            <w:tcMar>
              <w:top w:type="dxa" w:w="70"/>
              <w:left w:type="dxa" w:w="120"/>
              <w:bottom w:type="dxa" w:w="70"/>
              <w:right w:type="dxa" w:w="120"/>
            </w:tcMar>
            <w:vAlign w:val="center"/>
          </w:tcPr>
          <w:p>
            <w:r>
              <w:rPr>
                <w:sz w:val="20"/>
                <w:szCs w:val="20"/>
              </w:rPr>
              <w:t xml:space="preserve">0.817</w:t>
            </w:r>
          </w:p>
        </w:tc>
        <w:tc>
          <w:tcPr>
            <w:tcW w:type="dxa" w:w="1600"/>
            <w:shd w:fill="F3F6FA" w:val="clear"/>
            <w:tcMar>
              <w:top w:type="dxa" w:w="70"/>
              <w:left w:type="dxa" w:w="120"/>
              <w:bottom w:type="dxa" w:w="70"/>
              <w:right w:type="dxa" w:w="120"/>
            </w:tcMar>
            <w:vAlign w:val="center"/>
          </w:tcPr>
          <w:p>
            <w:r>
              <w:rPr>
                <w:sz w:val="20"/>
                <w:szCs w:val="20"/>
              </w:rPr>
              <w:t xml:space="preserve">0.802</w:t>
            </w:r>
          </w:p>
        </w:tc>
        <w:tc>
          <w:tcPr>
            <w:tcW w:type="dxa" w:w="1400"/>
            <w:shd w:fill="F3F6FA" w:val="clear"/>
            <w:tcMar>
              <w:top w:type="dxa" w:w="70"/>
              <w:left w:type="dxa" w:w="120"/>
              <w:bottom w:type="dxa" w:w="70"/>
              <w:right w:type="dxa" w:w="120"/>
            </w:tcMar>
            <w:vAlign w:val="center"/>
          </w:tcPr>
          <w:p>
            <w:r>
              <w:rPr>
                <w:sz w:val="20"/>
                <w:szCs w:val="20"/>
              </w:rPr>
              <w:t xml:space="preserve">0.778</w:t>
            </w:r>
          </w:p>
        </w:tc>
      </w:tr>
      <w:tr>
        <w:tc>
          <w:tcPr>
            <w:tcW w:type="dxa" w:w="1400"/>
            <w:shd w:fill="FFFFFF" w:val="clear"/>
            <w:tcMar>
              <w:top w:type="dxa" w:w="70"/>
              <w:left w:type="dxa" w:w="120"/>
              <w:bottom w:type="dxa" w:w="70"/>
              <w:right w:type="dxa" w:w="120"/>
            </w:tcMar>
            <w:vAlign w:val="center"/>
          </w:tcPr>
          <w:p>
            <w:r>
              <w:rPr>
                <w:sz w:val="20"/>
                <w:szCs w:val="20"/>
              </w:rPr>
              <w:t xml:space="preserve">Binary</w:t>
            </w:r>
          </w:p>
        </w:tc>
        <w:tc>
          <w:tcPr>
            <w:tcW w:type="dxa" w:w="2100"/>
            <w:shd w:fill="FFFFFF" w:val="clear"/>
            <w:tcMar>
              <w:top w:type="dxa" w:w="70"/>
              <w:left w:type="dxa" w:w="120"/>
              <w:bottom w:type="dxa" w:w="70"/>
              <w:right w:type="dxa" w:w="120"/>
            </w:tcMar>
            <w:vAlign w:val="center"/>
          </w:tcPr>
          <w:p>
            <w:r>
              <w:rPr>
                <w:sz w:val="20"/>
                <w:szCs w:val="20"/>
              </w:rPr>
              <w:t xml:space="preserve">XGBoost (best)</w:t>
            </w:r>
          </w:p>
        </w:tc>
        <w:tc>
          <w:tcPr>
            <w:tcW w:type="dxa" w:w="1400"/>
            <w:shd w:fill="FFFFFF" w:val="clear"/>
            <w:tcMar>
              <w:top w:type="dxa" w:w="70"/>
              <w:left w:type="dxa" w:w="120"/>
              <w:bottom w:type="dxa" w:w="70"/>
              <w:right w:type="dxa" w:w="120"/>
            </w:tcMar>
            <w:vAlign w:val="center"/>
          </w:tcPr>
          <w:p>
            <w:r>
              <w:rPr>
                <w:sz w:val="20"/>
                <w:szCs w:val="20"/>
              </w:rPr>
              <w:t xml:space="preserve">0.797</w:t>
            </w:r>
          </w:p>
        </w:tc>
        <w:tc>
          <w:tcPr>
            <w:tcW w:type="dxa" w:w="1900"/>
            <w:shd w:fill="FFFFFF" w:val="clear"/>
            <w:tcMar>
              <w:top w:type="dxa" w:w="70"/>
              <w:left w:type="dxa" w:w="120"/>
              <w:bottom w:type="dxa" w:w="70"/>
              <w:right w:type="dxa" w:w="120"/>
            </w:tcMar>
            <w:vAlign w:val="center"/>
          </w:tcPr>
          <w:p>
            <w:r>
              <w:rPr>
                <w:sz w:val="20"/>
                <w:szCs w:val="20"/>
              </w:rPr>
              <w:t xml:space="preserve">0.828</w:t>
            </w:r>
          </w:p>
        </w:tc>
        <w:tc>
          <w:tcPr>
            <w:tcW w:type="dxa" w:w="1600"/>
            <w:shd w:fill="FFFFFF" w:val="clear"/>
            <w:tcMar>
              <w:top w:type="dxa" w:w="70"/>
              <w:left w:type="dxa" w:w="120"/>
              <w:bottom w:type="dxa" w:w="70"/>
              <w:right w:type="dxa" w:w="120"/>
            </w:tcMar>
            <w:vAlign w:val="center"/>
          </w:tcPr>
          <w:p>
            <w:r>
              <w:rPr>
                <w:sz w:val="20"/>
                <w:szCs w:val="20"/>
              </w:rPr>
              <w:t xml:space="preserve">0.818</w:t>
            </w:r>
          </w:p>
        </w:tc>
        <w:tc>
          <w:tcPr>
            <w:tcW w:type="dxa" w:w="1400"/>
            <w:shd w:fill="FFFFFF" w:val="clear"/>
            <w:tcMar>
              <w:top w:type="dxa" w:w="70"/>
              <w:left w:type="dxa" w:w="120"/>
              <w:bottom w:type="dxa" w:w="70"/>
              <w:right w:type="dxa" w:w="120"/>
            </w:tcMar>
            <w:vAlign w:val="center"/>
          </w:tcPr>
          <w:p>
            <w:r>
              <w:rPr>
                <w:sz w:val="20"/>
                <w:szCs w:val="20"/>
              </w:rPr>
              <w:t xml:space="preserve">0.797</w:t>
            </w:r>
          </w:p>
        </w:tc>
      </w:tr>
      <w:tr>
        <w:tc>
          <w:tcPr>
            <w:tcW w:type="dxa" w:w="1400"/>
            <w:shd w:fill="F3F6FA" w:val="clear"/>
            <w:tcMar>
              <w:top w:type="dxa" w:w="70"/>
              <w:left w:type="dxa" w:w="120"/>
              <w:bottom w:type="dxa" w:w="70"/>
              <w:right w:type="dxa" w:w="120"/>
            </w:tcMar>
            <w:vAlign w:val="center"/>
          </w:tcPr>
          <w:p>
            <w:r>
              <w:rPr>
                <w:sz w:val="20"/>
                <w:szCs w:val="20"/>
              </w:rPr>
              <w:t xml:space="preserve">Multiclass</w:t>
            </w:r>
          </w:p>
        </w:tc>
        <w:tc>
          <w:tcPr>
            <w:tcW w:type="dxa" w:w="2100"/>
            <w:shd w:fill="F3F6FA" w:val="clear"/>
            <w:tcMar>
              <w:top w:type="dxa" w:w="70"/>
              <w:left w:type="dxa" w:w="120"/>
              <w:bottom w:type="dxa" w:w="70"/>
              <w:right w:type="dxa" w:w="120"/>
            </w:tcMar>
            <w:vAlign w:val="center"/>
          </w:tcPr>
          <w:p>
            <w:r>
              <w:rPr>
                <w:sz w:val="20"/>
                <w:szCs w:val="20"/>
              </w:rPr>
              <w:t xml:space="preserve">Decision Tree</w:t>
            </w:r>
          </w:p>
        </w:tc>
        <w:tc>
          <w:tcPr>
            <w:tcW w:type="dxa" w:w="1400"/>
            <w:shd w:fill="F3F6FA" w:val="clear"/>
            <w:tcMar>
              <w:top w:type="dxa" w:w="70"/>
              <w:left w:type="dxa" w:w="120"/>
              <w:bottom w:type="dxa" w:w="70"/>
              <w:right w:type="dxa" w:w="120"/>
            </w:tcMar>
            <w:vAlign w:val="center"/>
          </w:tcPr>
          <w:p>
            <w:r>
              <w:rPr>
                <w:sz w:val="20"/>
                <w:szCs w:val="20"/>
              </w:rPr>
              <w:t xml:space="preserve">0.748</w:t>
            </w:r>
          </w:p>
        </w:tc>
        <w:tc>
          <w:tcPr>
            <w:tcW w:type="dxa" w:w="1900"/>
            <w:shd w:fill="F3F6FA" w:val="clear"/>
            <w:tcMar>
              <w:top w:type="dxa" w:w="70"/>
              <w:left w:type="dxa" w:w="120"/>
              <w:bottom w:type="dxa" w:w="70"/>
              <w:right w:type="dxa" w:w="120"/>
            </w:tcMar>
            <w:vAlign w:val="center"/>
          </w:tcPr>
          <w:p>
            <w:r>
              <w:rPr>
                <w:sz w:val="20"/>
                <w:szCs w:val="20"/>
              </w:rPr>
              <w:t xml:space="preserve">0.583</w:t>
            </w:r>
          </w:p>
        </w:tc>
        <w:tc>
          <w:tcPr>
            <w:tcW w:type="dxa" w:w="1600"/>
            <w:shd w:fill="F3F6FA" w:val="clear"/>
            <w:tcMar>
              <w:top w:type="dxa" w:w="70"/>
              <w:left w:type="dxa" w:w="120"/>
              <w:bottom w:type="dxa" w:w="70"/>
              <w:right w:type="dxa" w:w="120"/>
            </w:tcMar>
            <w:vAlign w:val="center"/>
          </w:tcPr>
          <w:p>
            <w:r>
              <w:rPr>
                <w:sz w:val="20"/>
                <w:szCs w:val="20"/>
              </w:rPr>
              <w:t xml:space="preserve">0.503</w:t>
            </w:r>
          </w:p>
        </w:tc>
        <w:tc>
          <w:tcPr>
            <w:tcW w:type="dxa" w:w="1400"/>
            <w:shd w:fill="F3F6FA" w:val="clear"/>
            <w:tcMar>
              <w:top w:type="dxa" w:w="70"/>
              <w:left w:type="dxa" w:w="120"/>
              <w:bottom w:type="dxa" w:w="70"/>
              <w:right w:type="dxa" w:w="120"/>
            </w:tcMar>
            <w:vAlign w:val="center"/>
          </w:tcPr>
          <w:p>
            <w:r>
              <w:rPr>
                <w:sz w:val="20"/>
                <w:szCs w:val="20"/>
              </w:rPr>
              <w:t xml:space="preserve">0.490</w:t>
            </w:r>
          </w:p>
        </w:tc>
      </w:tr>
      <w:tr>
        <w:tc>
          <w:tcPr>
            <w:tcW w:type="dxa" w:w="1400"/>
            <w:shd w:fill="FFFFFF" w:val="clear"/>
            <w:tcMar>
              <w:top w:type="dxa" w:w="70"/>
              <w:left w:type="dxa" w:w="120"/>
              <w:bottom w:type="dxa" w:w="70"/>
              <w:right w:type="dxa" w:w="120"/>
            </w:tcMar>
            <w:vAlign w:val="center"/>
          </w:tcPr>
          <w:p>
            <w:r>
              <w:rPr>
                <w:sz w:val="20"/>
                <w:szCs w:val="20"/>
              </w:rPr>
              <w:t xml:space="preserve">Multiclass</w:t>
            </w:r>
          </w:p>
        </w:tc>
        <w:tc>
          <w:tcPr>
            <w:tcW w:type="dxa" w:w="2100"/>
            <w:shd w:fill="FFFFFF" w:val="clear"/>
            <w:tcMar>
              <w:top w:type="dxa" w:w="70"/>
              <w:left w:type="dxa" w:w="120"/>
              <w:bottom w:type="dxa" w:w="70"/>
              <w:right w:type="dxa" w:w="120"/>
            </w:tcMar>
            <w:vAlign w:val="center"/>
          </w:tcPr>
          <w:p>
            <w:r>
              <w:rPr>
                <w:sz w:val="20"/>
                <w:szCs w:val="20"/>
              </w:rPr>
              <w:t xml:space="preserve">Random Forest</w:t>
            </w:r>
          </w:p>
        </w:tc>
        <w:tc>
          <w:tcPr>
            <w:tcW w:type="dxa" w:w="1400"/>
            <w:shd w:fill="FFFFFF" w:val="clear"/>
            <w:tcMar>
              <w:top w:type="dxa" w:w="70"/>
              <w:left w:type="dxa" w:w="120"/>
              <w:bottom w:type="dxa" w:w="70"/>
              <w:right w:type="dxa" w:w="120"/>
            </w:tcMar>
            <w:vAlign w:val="center"/>
          </w:tcPr>
          <w:p>
            <w:r>
              <w:rPr>
                <w:sz w:val="20"/>
                <w:szCs w:val="20"/>
              </w:rPr>
              <w:t xml:space="preserve">0.739</w:t>
            </w:r>
          </w:p>
        </w:tc>
        <w:tc>
          <w:tcPr>
            <w:tcW w:type="dxa" w:w="1900"/>
            <w:shd w:fill="FFFFFF" w:val="clear"/>
            <w:tcMar>
              <w:top w:type="dxa" w:w="70"/>
              <w:left w:type="dxa" w:w="120"/>
              <w:bottom w:type="dxa" w:w="70"/>
              <w:right w:type="dxa" w:w="120"/>
            </w:tcMar>
            <w:vAlign w:val="center"/>
          </w:tcPr>
          <w:p>
            <w:r>
              <w:rPr>
                <w:sz w:val="20"/>
                <w:szCs w:val="20"/>
              </w:rPr>
              <w:t xml:space="preserve">0.765</w:t>
            </w:r>
          </w:p>
        </w:tc>
        <w:tc>
          <w:tcPr>
            <w:tcW w:type="dxa" w:w="1600"/>
            <w:shd w:fill="FFFFFF" w:val="clear"/>
            <w:tcMar>
              <w:top w:type="dxa" w:w="70"/>
              <w:left w:type="dxa" w:w="120"/>
              <w:bottom w:type="dxa" w:w="70"/>
              <w:right w:type="dxa" w:w="120"/>
            </w:tcMar>
            <w:vAlign w:val="center"/>
          </w:tcPr>
          <w:p>
            <w:r>
              <w:rPr>
                <w:sz w:val="20"/>
                <w:szCs w:val="20"/>
              </w:rPr>
              <w:t xml:space="preserve">0.475</w:t>
            </w:r>
          </w:p>
        </w:tc>
        <w:tc>
          <w:tcPr>
            <w:tcW w:type="dxa" w:w="1400"/>
            <w:shd w:fill="FFFFFF" w:val="clear"/>
            <w:tcMar>
              <w:top w:type="dxa" w:w="70"/>
              <w:left w:type="dxa" w:w="120"/>
              <w:bottom w:type="dxa" w:w="70"/>
              <w:right w:type="dxa" w:w="120"/>
            </w:tcMar>
            <w:vAlign w:val="center"/>
          </w:tcPr>
          <w:p>
            <w:r>
              <w:rPr>
                <w:sz w:val="20"/>
                <w:szCs w:val="20"/>
              </w:rPr>
              <w:t xml:space="preserve">0.479</w:t>
            </w:r>
          </w:p>
        </w:tc>
      </w:tr>
      <w:tr>
        <w:tc>
          <w:tcPr>
            <w:tcW w:type="dxa" w:w="1400"/>
            <w:shd w:fill="F3F6FA" w:val="clear"/>
            <w:tcMar>
              <w:top w:type="dxa" w:w="70"/>
              <w:left w:type="dxa" w:w="120"/>
              <w:bottom w:type="dxa" w:w="70"/>
              <w:right w:type="dxa" w:w="120"/>
            </w:tcMar>
            <w:vAlign w:val="center"/>
          </w:tcPr>
          <w:p>
            <w:r>
              <w:rPr>
                <w:sz w:val="20"/>
                <w:szCs w:val="20"/>
              </w:rPr>
              <w:t xml:space="preserve">Multiclass</w:t>
            </w:r>
          </w:p>
        </w:tc>
        <w:tc>
          <w:tcPr>
            <w:tcW w:type="dxa" w:w="2100"/>
            <w:shd w:fill="F3F6FA" w:val="clear"/>
            <w:tcMar>
              <w:top w:type="dxa" w:w="70"/>
              <w:left w:type="dxa" w:w="120"/>
              <w:bottom w:type="dxa" w:w="70"/>
              <w:right w:type="dxa" w:w="120"/>
            </w:tcMar>
            <w:vAlign w:val="center"/>
          </w:tcPr>
          <w:p>
            <w:r>
              <w:rPr>
                <w:sz w:val="20"/>
                <w:szCs w:val="20"/>
              </w:rPr>
              <w:t xml:space="preserve">XGBoost (best)</w:t>
            </w:r>
          </w:p>
        </w:tc>
        <w:tc>
          <w:tcPr>
            <w:tcW w:type="dxa" w:w="1400"/>
            <w:shd w:fill="F3F6FA" w:val="clear"/>
            <w:tcMar>
              <w:top w:type="dxa" w:w="70"/>
              <w:left w:type="dxa" w:w="120"/>
              <w:bottom w:type="dxa" w:w="70"/>
              <w:right w:type="dxa" w:w="120"/>
            </w:tcMar>
            <w:vAlign w:val="center"/>
          </w:tcPr>
          <w:p>
            <w:r>
              <w:rPr>
                <w:sz w:val="20"/>
                <w:szCs w:val="20"/>
              </w:rPr>
              <w:t xml:space="preserve">0.779</w:t>
            </w:r>
          </w:p>
        </w:tc>
        <w:tc>
          <w:tcPr>
            <w:tcW w:type="dxa" w:w="1900"/>
            <w:shd w:fill="F3F6FA" w:val="clear"/>
            <w:tcMar>
              <w:top w:type="dxa" w:w="70"/>
              <w:left w:type="dxa" w:w="120"/>
              <w:bottom w:type="dxa" w:w="70"/>
              <w:right w:type="dxa" w:w="120"/>
            </w:tcMar>
            <w:vAlign w:val="center"/>
          </w:tcPr>
          <w:p>
            <w:r>
              <w:rPr>
                <w:sz w:val="20"/>
                <w:szCs w:val="20"/>
              </w:rPr>
              <w:t xml:space="preserve">0.825</w:t>
            </w:r>
          </w:p>
        </w:tc>
        <w:tc>
          <w:tcPr>
            <w:tcW w:type="dxa" w:w="1600"/>
            <w:shd w:fill="F3F6FA" w:val="clear"/>
            <w:tcMar>
              <w:top w:type="dxa" w:w="70"/>
              <w:left w:type="dxa" w:w="120"/>
              <w:bottom w:type="dxa" w:w="70"/>
              <w:right w:type="dxa" w:w="120"/>
            </w:tcMar>
            <w:vAlign w:val="center"/>
          </w:tcPr>
          <w:p>
            <w:r>
              <w:rPr>
                <w:sz w:val="20"/>
                <w:szCs w:val="20"/>
              </w:rPr>
              <w:t xml:space="preserve">0.557</w:t>
            </w:r>
          </w:p>
        </w:tc>
        <w:tc>
          <w:tcPr>
            <w:tcW w:type="dxa" w:w="1400"/>
            <w:shd w:fill="F3F6FA" w:val="clear"/>
            <w:tcMar>
              <w:top w:type="dxa" w:w="70"/>
              <w:left w:type="dxa" w:w="120"/>
              <w:bottom w:type="dxa" w:w="70"/>
              <w:right w:type="dxa" w:w="120"/>
            </w:tcMar>
            <w:vAlign w:val="center"/>
          </w:tcPr>
          <w:p>
            <w:r>
              <w:rPr>
                <w:sz w:val="20"/>
                <w:szCs w:val="20"/>
              </w:rPr>
              <w:t xml:space="preserve">0.581</w:t>
            </w:r>
          </w:p>
        </w:tc>
      </w:tr>
    </w:tbl>
    <w:p>
      <w:pPr>
        <w:spacing w:before="150"/>
        <w:jc w:val="center"/>
      </w:pPr>
      <w:r>
        <w:drawing>
          <wp:inline distT="0" distB="0" distL="0" distR="0">
            <wp:extent cx="5669280" cy="30923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092335"/>
                    </a:xfrm>
                    <a:prstGeom prst="rect">
                      <a:avLst/>
                    </a:prstGeom>
                  </pic:spPr>
                </pic:pic>
              </a:graphicData>
            </a:graphic>
          </wp:inline>
        </w:drawing>
      </w:r>
    </w:p>
    <w:p>
      <w:pPr>
        <w:spacing w:after="300" w:before="80"/>
        <w:jc w:val="center"/>
      </w:pPr>
      <w:r>
        <w:rPr>
          <w:i/>
          <w:iCs/>
          <w:color w:val="595959"/>
          <w:sz w:val="18"/>
          <w:szCs w:val="18"/>
        </w:rPr>
        <w:t xml:space="preserve">Figure 1 — Accuracy / macro-F1 / weighted-F1 across all six trained models.</w:t>
      </w:r>
    </w:p>
    <w:p>
      <w:pPr>
        <w:spacing w:after="160"/>
      </w:pPr>
      <w:r>
        <w:t xml:space="preserve">XGBoost was the strongest model on every metric in both tasks, consistent with its known strength on structured/tabular data through iterative error correction rather than simple averaging (Random Forest) or a single overfit tree (Decision Tree).</w:t>
      </w:r>
    </w:p>
    <w:p>
      <w:pPr>
        <w:spacing w:before="150"/>
        <w:jc w:val="center"/>
      </w:pPr>
      <w:r>
        <w:drawing>
          <wp:inline distT="0" distB="0" distL="0" distR="0">
            <wp:extent cx="5669280" cy="22272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227217"/>
                    </a:xfrm>
                    <a:prstGeom prst="rect">
                      <a:avLst/>
                    </a:prstGeom>
                  </pic:spPr>
                </pic:pic>
              </a:graphicData>
            </a:graphic>
          </wp:inline>
        </w:drawing>
      </w:r>
    </w:p>
    <w:p>
      <w:pPr>
        <w:spacing w:after="300" w:before="80"/>
        <w:jc w:val="center"/>
      </w:pPr>
      <w:r>
        <w:rPr>
          <w:i/>
          <w:iCs/>
          <w:color w:val="595959"/>
          <w:sz w:val="18"/>
          <w:szCs w:val="18"/>
        </w:rPr>
        <w:t xml:space="preserve">Figure 2 — Multiclass confusion matrix for XGBoost: raw counts (left) and row-normalized per-class recall (right).</w:t>
      </w:r>
    </w:p>
    <w:p>
      <w:pPr>
        <w:spacing w:after="160"/>
      </w:pPr>
      <w:r>
        <w:t xml:space="preserve">Normal (0.84) and DoS (0.97) are detected reliably, but R2L recall collapses to just 0.06 — 93% of true R2L attacks are misclassified as DoS. This is a direct consequence of R2L having only 995 training examples (0.8% of the training set) and most of its KDDTest+ variants belonging to attack families the model never saw during training.</w:t>
      </w:r>
    </w:p>
    <w:p>
      <w:pPr>
        <w:pStyle w:val="Heading2"/>
        <w:spacing w:after="150" w:before="300"/>
      </w:pPr>
      <w:r>
        <w:t xml:space="preserve">7.2 Part 2 — Anomaly Detection Results (Zero-Day Simulation)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1900"/>
        <w:gridCol w:w="1900"/>
      </w:tblGrid>
      <w:tr>
        <w:tc>
          <w:tcPr>
            <w:tcW w:type="dxa" w:w="2600"/>
            <w:shd w:fill="1F3864" w:val="clear"/>
            <w:tcMar>
              <w:top w:type="dxa" w:w="80"/>
              <w:left w:type="dxa" w:w="120"/>
              <w:bottom w:type="dxa" w:w="80"/>
              <w:right w:type="dxa" w:w="120"/>
            </w:tcMar>
            <w:vAlign w:val="center"/>
          </w:tcPr>
          <w:p>
            <w:r>
              <w:rPr>
                <w:b/>
                <w:bCs/>
                <w:color w:val="FFFFFF"/>
                <w:sz w:val="20"/>
                <w:szCs w:val="20"/>
              </w:rPr>
              <w:t xml:space="preserve">Model</w:t>
            </w:r>
          </w:p>
        </w:tc>
        <w:tc>
          <w:tcPr>
            <w:tcW w:type="dxa" w:w="1500"/>
            <w:shd w:fill="1F3864" w:val="clear"/>
            <w:tcMar>
              <w:top w:type="dxa" w:w="80"/>
              <w:left w:type="dxa" w:w="120"/>
              <w:bottom w:type="dxa" w:w="80"/>
              <w:right w:type="dxa" w:w="120"/>
            </w:tcMar>
            <w:vAlign w:val="center"/>
          </w:tcPr>
          <w:p>
            <w:r>
              <w:rPr>
                <w:b/>
                <w:bCs/>
                <w:color w:val="FFFFFF"/>
                <w:sz w:val="20"/>
                <w:szCs w:val="20"/>
              </w:rPr>
              <w:t xml:space="preserve">ROC-AUC</w:t>
            </w:r>
          </w:p>
        </w:tc>
        <w:tc>
          <w:tcPr>
            <w:tcW w:type="dxa" w:w="1900"/>
            <w:shd w:fill="1F3864" w:val="clear"/>
            <w:tcMar>
              <w:top w:type="dxa" w:w="80"/>
              <w:left w:type="dxa" w:w="120"/>
              <w:bottom w:type="dxa" w:w="80"/>
              <w:right w:type="dxa" w:w="120"/>
            </w:tcMar>
            <w:vAlign w:val="center"/>
          </w:tcPr>
          <w:p>
            <w:r>
              <w:rPr>
                <w:b/>
                <w:bCs/>
                <w:color w:val="FFFFFF"/>
                <w:sz w:val="20"/>
                <w:szCs w:val="20"/>
              </w:rPr>
              <w:t xml:space="preserve">Avg. Precision</w:t>
            </w:r>
          </w:p>
        </w:tc>
        <w:tc>
          <w:tcPr>
            <w:tcW w:type="dxa" w:w="1900"/>
            <w:shd w:fill="1F3864" w:val="clear"/>
            <w:tcMar>
              <w:top w:type="dxa" w:w="80"/>
              <w:left w:type="dxa" w:w="120"/>
              <w:bottom w:type="dxa" w:w="80"/>
              <w:right w:type="dxa" w:w="120"/>
            </w:tcMar>
            <w:vAlign w:val="center"/>
          </w:tcPr>
          <w:p>
            <w:r>
              <w:rPr>
                <w:b/>
                <w:bCs/>
                <w:color w:val="FFFFFF"/>
                <w:sz w:val="20"/>
                <w:szCs w:val="20"/>
              </w:rPr>
              <w:t xml:space="preserve">Detection — all attacks</w:t>
            </w:r>
          </w:p>
        </w:tc>
        <w:tc>
          <w:tcPr>
            <w:tcW w:type="dxa" w:w="1900"/>
            <w:shd w:fill="1F3864" w:val="clear"/>
            <w:tcMar>
              <w:top w:type="dxa" w:w="80"/>
              <w:left w:type="dxa" w:w="120"/>
              <w:bottom w:type="dxa" w:w="80"/>
              <w:right w:type="dxa" w:w="120"/>
            </w:tcMar>
            <w:vAlign w:val="center"/>
          </w:tcPr>
          <w:p>
            <w:r>
              <w:rPr>
                <w:b/>
                <w:bCs/>
                <w:color w:val="FFFFFF"/>
                <w:sz w:val="20"/>
                <w:szCs w:val="20"/>
              </w:rPr>
              <w:t xml:space="preserve">Detection — TRUE zero-day only</w:t>
            </w:r>
          </w:p>
        </w:tc>
      </w:tr>
      <w:tr>
        <w:tc>
          <w:tcPr>
            <w:tcW w:type="dxa" w:w="2600"/>
            <w:shd w:fill="FFFFFF" w:val="clear"/>
            <w:tcMar>
              <w:top w:type="dxa" w:w="70"/>
              <w:left w:type="dxa" w:w="120"/>
              <w:bottom w:type="dxa" w:w="70"/>
              <w:right w:type="dxa" w:w="120"/>
            </w:tcMar>
            <w:vAlign w:val="center"/>
          </w:tcPr>
          <w:p>
            <w:r>
              <w:rPr>
                <w:sz w:val="20"/>
                <w:szCs w:val="20"/>
              </w:rPr>
              <w:t xml:space="preserve">Isolation Forest (best)</w:t>
            </w:r>
          </w:p>
        </w:tc>
        <w:tc>
          <w:tcPr>
            <w:tcW w:type="dxa" w:w="1500"/>
            <w:shd w:fill="FFFFFF" w:val="clear"/>
            <w:tcMar>
              <w:top w:type="dxa" w:w="70"/>
              <w:left w:type="dxa" w:w="120"/>
              <w:bottom w:type="dxa" w:w="70"/>
              <w:right w:type="dxa" w:w="120"/>
            </w:tcMar>
            <w:vAlign w:val="center"/>
          </w:tcPr>
          <w:p>
            <w:r>
              <w:rPr>
                <w:sz w:val="20"/>
                <w:szCs w:val="20"/>
              </w:rPr>
              <w:t xml:space="preserve">0.942</w:t>
            </w:r>
          </w:p>
        </w:tc>
        <w:tc>
          <w:tcPr>
            <w:tcW w:type="dxa" w:w="1900"/>
            <w:shd w:fill="FFFFFF" w:val="clear"/>
            <w:tcMar>
              <w:top w:type="dxa" w:w="70"/>
              <w:left w:type="dxa" w:w="120"/>
              <w:bottom w:type="dxa" w:w="70"/>
              <w:right w:type="dxa" w:w="120"/>
            </w:tcMar>
            <w:vAlign w:val="center"/>
          </w:tcPr>
          <w:p>
            <w:r>
              <w:rPr>
                <w:sz w:val="20"/>
                <w:szCs w:val="20"/>
              </w:rPr>
              <w:t xml:space="preserve">0.954</w:t>
            </w:r>
          </w:p>
        </w:tc>
        <w:tc>
          <w:tcPr>
            <w:tcW w:type="dxa" w:w="1900"/>
            <w:shd w:fill="FFFFFF" w:val="clear"/>
            <w:tcMar>
              <w:top w:type="dxa" w:w="70"/>
              <w:left w:type="dxa" w:w="120"/>
              <w:bottom w:type="dxa" w:w="70"/>
              <w:right w:type="dxa" w:w="120"/>
            </w:tcMar>
            <w:vAlign w:val="center"/>
          </w:tcPr>
          <w:p>
            <w:r>
              <w:rPr>
                <w:sz w:val="20"/>
                <w:szCs w:val="20"/>
              </w:rPr>
              <w:t xml:space="preserve">67.3%</w:t>
            </w:r>
          </w:p>
        </w:tc>
        <w:tc>
          <w:tcPr>
            <w:tcW w:type="dxa" w:w="1900"/>
            <w:shd w:fill="FFFFFF" w:val="clear"/>
            <w:tcMar>
              <w:top w:type="dxa" w:w="70"/>
              <w:left w:type="dxa" w:w="120"/>
              <w:bottom w:type="dxa" w:w="70"/>
              <w:right w:type="dxa" w:w="120"/>
            </w:tcMar>
            <w:vAlign w:val="center"/>
          </w:tcPr>
          <w:p>
            <w:r>
              <w:rPr>
                <w:sz w:val="20"/>
                <w:szCs w:val="20"/>
              </w:rPr>
              <w:t xml:space="preserve">63.1%</w:t>
            </w:r>
          </w:p>
        </w:tc>
      </w:tr>
      <w:tr>
        <w:tc>
          <w:tcPr>
            <w:tcW w:type="dxa" w:w="2600"/>
            <w:shd w:fill="F3F6FA" w:val="clear"/>
            <w:tcMar>
              <w:top w:type="dxa" w:w="70"/>
              <w:left w:type="dxa" w:w="120"/>
              <w:bottom w:type="dxa" w:w="70"/>
              <w:right w:type="dxa" w:w="120"/>
            </w:tcMar>
            <w:vAlign w:val="center"/>
          </w:tcPr>
          <w:p>
            <w:r>
              <w:rPr>
                <w:sz w:val="20"/>
                <w:szCs w:val="20"/>
              </w:rPr>
              <w:t xml:space="preserve">Local Outlier Factor</w:t>
            </w:r>
          </w:p>
        </w:tc>
        <w:tc>
          <w:tcPr>
            <w:tcW w:type="dxa" w:w="1500"/>
            <w:shd w:fill="F3F6FA" w:val="clear"/>
            <w:tcMar>
              <w:top w:type="dxa" w:w="70"/>
              <w:left w:type="dxa" w:w="120"/>
              <w:bottom w:type="dxa" w:w="70"/>
              <w:right w:type="dxa" w:w="120"/>
            </w:tcMar>
            <w:vAlign w:val="center"/>
          </w:tcPr>
          <w:p>
            <w:r>
              <w:rPr>
                <w:sz w:val="20"/>
                <w:szCs w:val="20"/>
              </w:rPr>
              <w:t xml:space="preserve">0.881</w:t>
            </w:r>
          </w:p>
        </w:tc>
        <w:tc>
          <w:tcPr>
            <w:tcW w:type="dxa" w:w="1900"/>
            <w:shd w:fill="F3F6FA" w:val="clear"/>
            <w:tcMar>
              <w:top w:type="dxa" w:w="70"/>
              <w:left w:type="dxa" w:w="120"/>
              <w:bottom w:type="dxa" w:w="70"/>
              <w:right w:type="dxa" w:w="120"/>
            </w:tcMar>
            <w:vAlign w:val="center"/>
          </w:tcPr>
          <w:p>
            <w:r>
              <w:rPr>
                <w:sz w:val="20"/>
                <w:szCs w:val="20"/>
              </w:rPr>
              <w:t xml:space="preserve">0.857</w:t>
            </w:r>
          </w:p>
        </w:tc>
        <w:tc>
          <w:tcPr>
            <w:tcW w:type="dxa" w:w="1900"/>
            <w:shd w:fill="F3F6FA" w:val="clear"/>
            <w:tcMar>
              <w:top w:type="dxa" w:w="70"/>
              <w:left w:type="dxa" w:w="120"/>
              <w:bottom w:type="dxa" w:w="70"/>
              <w:right w:type="dxa" w:w="120"/>
            </w:tcMar>
            <w:vAlign w:val="center"/>
          </w:tcPr>
          <w:p>
            <w:r>
              <w:rPr>
                <w:sz w:val="20"/>
                <w:szCs w:val="20"/>
              </w:rPr>
              <w:t xml:space="preserve">22.5%</w:t>
            </w:r>
          </w:p>
        </w:tc>
        <w:tc>
          <w:tcPr>
            <w:tcW w:type="dxa" w:w="1900"/>
            <w:shd w:fill="F3F6FA" w:val="clear"/>
            <w:tcMar>
              <w:top w:type="dxa" w:w="70"/>
              <w:left w:type="dxa" w:w="120"/>
              <w:bottom w:type="dxa" w:w="70"/>
              <w:right w:type="dxa" w:w="120"/>
            </w:tcMar>
            <w:vAlign w:val="center"/>
          </w:tcPr>
          <w:p>
            <w:r>
              <w:rPr>
                <w:sz w:val="20"/>
                <w:szCs w:val="20"/>
              </w:rPr>
              <w:t xml:space="preserve">17.4%</w:t>
            </w:r>
          </w:p>
        </w:tc>
      </w:tr>
      <w:tr>
        <w:tc>
          <w:tcPr>
            <w:tcW w:type="dxa" w:w="2600"/>
            <w:shd w:fill="FFFFFF" w:val="clear"/>
            <w:tcMar>
              <w:top w:type="dxa" w:w="70"/>
              <w:left w:type="dxa" w:w="120"/>
              <w:bottom w:type="dxa" w:w="70"/>
              <w:right w:type="dxa" w:w="120"/>
            </w:tcMar>
            <w:vAlign w:val="center"/>
          </w:tcPr>
          <w:p>
            <w:r>
              <w:rPr>
                <w:sz w:val="20"/>
                <w:szCs w:val="20"/>
              </w:rPr>
              <w:t xml:space="preserve">PCA Reconstruction Error</w:t>
            </w:r>
          </w:p>
        </w:tc>
        <w:tc>
          <w:tcPr>
            <w:tcW w:type="dxa" w:w="1500"/>
            <w:shd w:fill="FFFFFF" w:val="clear"/>
            <w:tcMar>
              <w:top w:type="dxa" w:w="70"/>
              <w:left w:type="dxa" w:w="120"/>
              <w:bottom w:type="dxa" w:w="70"/>
              <w:right w:type="dxa" w:w="120"/>
            </w:tcMar>
            <w:vAlign w:val="center"/>
          </w:tcPr>
          <w:p>
            <w:r>
              <w:rPr>
                <w:sz w:val="20"/>
                <w:szCs w:val="20"/>
              </w:rPr>
              <w:t xml:space="preserve">0.935</w:t>
            </w:r>
          </w:p>
        </w:tc>
        <w:tc>
          <w:tcPr>
            <w:tcW w:type="dxa" w:w="1900"/>
            <w:shd w:fill="FFFFFF" w:val="clear"/>
            <w:tcMar>
              <w:top w:type="dxa" w:w="70"/>
              <w:left w:type="dxa" w:w="120"/>
              <w:bottom w:type="dxa" w:w="70"/>
              <w:right w:type="dxa" w:w="120"/>
            </w:tcMar>
            <w:vAlign w:val="center"/>
          </w:tcPr>
          <w:p>
            <w:r>
              <w:rPr>
                <w:sz w:val="20"/>
                <w:szCs w:val="20"/>
              </w:rPr>
              <w:t xml:space="preserve">0.929</w:t>
            </w:r>
          </w:p>
        </w:tc>
        <w:tc>
          <w:tcPr>
            <w:tcW w:type="dxa" w:w="1900"/>
            <w:shd w:fill="FFFFFF" w:val="clear"/>
            <w:tcMar>
              <w:top w:type="dxa" w:w="70"/>
              <w:left w:type="dxa" w:w="120"/>
              <w:bottom w:type="dxa" w:w="70"/>
              <w:right w:type="dxa" w:w="120"/>
            </w:tcMar>
            <w:vAlign w:val="center"/>
          </w:tcPr>
          <w:p>
            <w:r>
              <w:rPr>
                <w:sz w:val="20"/>
                <w:szCs w:val="20"/>
              </w:rPr>
              <w:t xml:space="preserve">54.6%</w:t>
            </w:r>
          </w:p>
        </w:tc>
        <w:tc>
          <w:tcPr>
            <w:tcW w:type="dxa" w:w="1900"/>
            <w:shd w:fill="FFFFFF" w:val="clear"/>
            <w:tcMar>
              <w:top w:type="dxa" w:w="70"/>
              <w:left w:type="dxa" w:w="120"/>
              <w:bottom w:type="dxa" w:w="70"/>
              <w:right w:type="dxa" w:w="120"/>
            </w:tcMar>
            <w:vAlign w:val="center"/>
          </w:tcPr>
          <w:p>
            <w:r>
              <w:rPr>
                <w:sz w:val="20"/>
                <w:szCs w:val="20"/>
              </w:rPr>
              <w:t xml:space="preserve">39.0%</w:t>
            </w:r>
          </w:p>
        </w:tc>
      </w:tr>
    </w:tbl>
    <w:p>
      <w:pPr>
        <w:spacing w:before="150"/>
        <w:jc w:val="center"/>
      </w:pPr>
      <w:r>
        <w:drawing>
          <wp:inline distT="0" distB="0" distL="0" distR="0">
            <wp:extent cx="5669280" cy="2398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398542"/>
                    </a:xfrm>
                    <a:prstGeom prst="rect">
                      <a:avLst/>
                    </a:prstGeom>
                  </pic:spPr>
                </pic:pic>
              </a:graphicData>
            </a:graphic>
          </wp:inline>
        </w:drawing>
      </w:r>
    </w:p>
    <w:p>
      <w:pPr>
        <w:spacing w:after="300" w:before="80"/>
        <w:jc w:val="center"/>
      </w:pPr>
      <w:r>
        <w:rPr>
          <w:i/>
          <w:iCs/>
          <w:color w:val="595959"/>
          <w:sz w:val="18"/>
          <w:szCs w:val="18"/>
        </w:rPr>
        <w:t xml:space="preserve">Figure 3 — ROC curve (left) and Precision-Recall curve (right) for all three anomaly detectors.</w:t>
      </w:r>
    </w:p>
    <w:p>
      <w:pPr>
        <w:spacing w:before="150"/>
        <w:jc w:val="center"/>
      </w:pPr>
      <w:r>
        <w:drawing>
          <wp:inline distT="0" distB="0" distL="0" distR="0">
            <wp:extent cx="5669280" cy="38976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3897630"/>
                    </a:xfrm>
                    <a:prstGeom prst="rect">
                      <a:avLst/>
                    </a:prstGeom>
                  </pic:spPr>
                </pic:pic>
              </a:graphicData>
            </a:graphic>
          </wp:inline>
        </w:drawing>
      </w:r>
    </w:p>
    <w:p>
      <w:pPr>
        <w:spacing w:after="300" w:before="80"/>
        <w:jc w:val="center"/>
      </w:pPr>
      <w:r>
        <w:rPr>
          <w:i/>
          <w:iCs/>
          <w:color w:val="595959"/>
          <w:sz w:val="18"/>
          <w:szCs w:val="18"/>
        </w:rPr>
        <w:t xml:space="preserve">Figure 4 — Detection rate on all attacks vs. the true zero-day-only subset.</w:t>
      </w:r>
    </w:p>
    <w:p>
      <w:pPr>
        <w:spacing w:after="160"/>
      </w:pPr>
      <w:r>
        <w:t xml:space="preserve">Isolation Forest, trained purely on normal traffic with zero attack examples, catches 63.1% of the true zero-day subset — attacks the classifier in Part 1 was structurally unable to identify correctly by class. This is direct, measured evidence that anomaly detection recovers real signal precisely where supervised classification fails.</w:t>
      </w:r>
    </w:p>
    <w:p>
      <w:pPr>
        <w:pStyle w:val="Heading2"/>
        <w:spacing w:after="150" w:before="300"/>
      </w:pPr>
      <w:r>
        <w:t xml:space="preserve">7.3 Part 3 — Hybrid Pipeline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c>
          <w:tcPr>
            <w:tcW w:type="dxa" w:w="6200"/>
            <w:shd w:fill="1F3864" w:val="clear"/>
            <w:tcMar>
              <w:top w:type="dxa" w:w="80"/>
              <w:left w:type="dxa" w:w="120"/>
              <w:bottom w:type="dxa" w:w="80"/>
              <w:right w:type="dxa" w:w="120"/>
            </w:tcMar>
            <w:vAlign w:val="center"/>
          </w:tcPr>
          <w:p>
            <w:r>
              <w:rPr>
                <w:b/>
                <w:bCs/>
                <w:color w:val="FFFFFF"/>
                <w:sz w:val="20"/>
                <w:szCs w:val="20"/>
              </w:rPr>
              <w:t xml:space="preserve">Metric</w:t>
            </w:r>
          </w:p>
        </w:tc>
        <w:tc>
          <w:tcPr>
            <w:tcW w:type="dxa" w:w="2800"/>
            <w:shd w:fill="1F3864" w:val="clear"/>
            <w:tcMar>
              <w:top w:type="dxa" w:w="80"/>
              <w:left w:type="dxa" w:w="120"/>
              <w:bottom w:type="dxa" w:w="80"/>
              <w:right w:type="dxa" w:w="120"/>
            </w:tcMar>
            <w:vAlign w:val="center"/>
          </w:tcPr>
          <w:p>
            <w:r>
              <w:rPr>
                <w:b/>
                <w:bCs/>
                <w:color w:val="FFFFFF"/>
                <w:sz w:val="20"/>
                <w:szCs w:val="20"/>
              </w:rPr>
              <w:t xml:space="preserve">Value</w:t>
            </w:r>
          </w:p>
        </w:tc>
      </w:tr>
      <w:tr>
        <w:tc>
          <w:tcPr>
            <w:tcW w:type="dxa" w:w="6200"/>
            <w:shd w:fill="FFFFFF" w:val="clear"/>
            <w:tcMar>
              <w:top w:type="dxa" w:w="70"/>
              <w:left w:type="dxa" w:w="120"/>
              <w:bottom w:type="dxa" w:w="70"/>
              <w:right w:type="dxa" w:w="120"/>
            </w:tcMar>
            <w:vAlign w:val="center"/>
          </w:tcPr>
          <w:p>
            <w:r>
              <w:rPr>
                <w:sz w:val="20"/>
                <w:szCs w:val="20"/>
              </w:rPr>
              <w:t xml:space="preserve">True zero-day attacks correctly routed to 'Unknown/Zero-Day Suspect'</w:t>
            </w:r>
          </w:p>
        </w:tc>
        <w:tc>
          <w:tcPr>
            <w:tcW w:type="dxa" w:w="2800"/>
            <w:shd w:fill="FFFFFF" w:val="clear"/>
            <w:tcMar>
              <w:top w:type="dxa" w:w="70"/>
              <w:left w:type="dxa" w:w="120"/>
              <w:bottom w:type="dxa" w:w="70"/>
              <w:right w:type="dxa" w:w="120"/>
            </w:tcMar>
            <w:vAlign w:val="center"/>
          </w:tcPr>
          <w:p>
            <w:r>
              <w:rPr>
                <w:sz w:val="20"/>
                <w:szCs w:val="20"/>
              </w:rPr>
              <w:t xml:space="preserve">31.5%</w:t>
            </w:r>
          </w:p>
        </w:tc>
      </w:tr>
      <w:tr>
        <w:tc>
          <w:tcPr>
            <w:tcW w:type="dxa" w:w="6200"/>
            <w:shd w:fill="F3F6FA" w:val="clear"/>
            <w:tcMar>
              <w:top w:type="dxa" w:w="70"/>
              <w:left w:type="dxa" w:w="120"/>
              <w:bottom w:type="dxa" w:w="70"/>
              <w:right w:type="dxa" w:w="120"/>
            </w:tcMar>
            <w:vAlign w:val="center"/>
          </w:tcPr>
          <w:p>
            <w:r>
              <w:rPr>
                <w:sz w:val="20"/>
                <w:szCs w:val="20"/>
              </w:rPr>
              <w:t xml:space="preserve">Known attacks incorrectly dumped into 'Unknown' (false-negative cost)</w:t>
            </w:r>
          </w:p>
        </w:tc>
        <w:tc>
          <w:tcPr>
            <w:tcW w:type="dxa" w:w="2800"/>
            <w:shd w:fill="F3F6FA" w:val="clear"/>
            <w:tcMar>
              <w:top w:type="dxa" w:w="70"/>
              <w:left w:type="dxa" w:w="120"/>
              <w:bottom w:type="dxa" w:w="70"/>
              <w:right w:type="dxa" w:w="120"/>
            </w:tcMar>
            <w:vAlign w:val="center"/>
          </w:tcPr>
          <w:p>
            <w:r>
              <w:rPr>
                <w:sz w:val="20"/>
                <w:szCs w:val="20"/>
              </w:rPr>
              <w:t xml:space="preserve">1.9%</w:t>
            </w:r>
          </w:p>
        </w:tc>
      </w:tr>
      <w:tr>
        <w:tc>
          <w:tcPr>
            <w:tcW w:type="dxa" w:w="6200"/>
            <w:shd w:fill="FFFFFF" w:val="clear"/>
            <w:tcMar>
              <w:top w:type="dxa" w:w="70"/>
              <w:left w:type="dxa" w:w="120"/>
              <w:bottom w:type="dxa" w:w="70"/>
              <w:right w:type="dxa" w:w="120"/>
            </w:tcMar>
            <w:vAlign w:val="center"/>
          </w:tcPr>
          <w:p>
            <w:r>
              <w:rPr>
                <w:sz w:val="20"/>
                <w:szCs w:val="20"/>
              </w:rPr>
              <w:t xml:space="preserve">Normal traffic false-alarmed (flagged as attack/unknown)</w:t>
            </w:r>
          </w:p>
        </w:tc>
        <w:tc>
          <w:tcPr>
            <w:tcW w:type="dxa" w:w="2800"/>
            <w:shd w:fill="FFFFFF" w:val="clear"/>
            <w:tcMar>
              <w:top w:type="dxa" w:w="70"/>
              <w:left w:type="dxa" w:w="120"/>
              <w:bottom w:type="dxa" w:w="70"/>
              <w:right w:type="dxa" w:w="120"/>
            </w:tcMar>
            <w:vAlign w:val="center"/>
          </w:tcPr>
          <w:p>
            <w:r>
              <w:rPr>
                <w:sz w:val="20"/>
                <w:szCs w:val="20"/>
              </w:rPr>
              <w:t xml:space="preserve">5.7%</w:t>
            </w:r>
          </w:p>
        </w:tc>
      </w:tr>
      <w:tr>
        <w:tc>
          <w:tcPr>
            <w:tcW w:type="dxa" w:w="6200"/>
            <w:shd w:fill="F3F6FA" w:val="clear"/>
            <w:tcMar>
              <w:top w:type="dxa" w:w="70"/>
              <w:left w:type="dxa" w:w="120"/>
              <w:bottom w:type="dxa" w:w="70"/>
              <w:right w:type="dxa" w:w="120"/>
            </w:tcMar>
            <w:vAlign w:val="center"/>
          </w:tcPr>
          <w:p>
            <w:r>
              <w:rPr>
                <w:sz w:val="20"/>
                <w:szCs w:val="20"/>
              </w:rPr>
              <w:t xml:space="preserve">Overall hybrid pipeline accuracy</w:t>
            </w:r>
          </w:p>
        </w:tc>
        <w:tc>
          <w:tcPr>
            <w:tcW w:type="dxa" w:w="2800"/>
            <w:shd w:fill="F3F6FA" w:val="clear"/>
            <w:tcMar>
              <w:top w:type="dxa" w:w="70"/>
              <w:left w:type="dxa" w:w="120"/>
              <w:bottom w:type="dxa" w:w="70"/>
              <w:right w:type="dxa" w:w="120"/>
            </w:tcMar>
            <w:vAlign w:val="center"/>
          </w:tcPr>
          <w:p>
            <w:r>
              <w:rPr>
                <w:sz w:val="20"/>
                <w:szCs w:val="20"/>
              </w:rPr>
              <w:t xml:space="preserve">76.8%</w:t>
            </w:r>
          </w:p>
        </w:tc>
      </w:tr>
    </w:tbl>
    <w:p>
      <w:pPr>
        <w:spacing w:before="150"/>
        <w:jc w:val="center"/>
      </w:pPr>
      <w:r>
        <w:drawing>
          <wp:inline distT="0" distB="0" distL="0" distR="0">
            <wp:extent cx="5669280" cy="38976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3897630"/>
                    </a:xfrm>
                    <a:prstGeom prst="rect">
                      <a:avLst/>
                    </a:prstGeom>
                  </pic:spPr>
                </pic:pic>
              </a:graphicData>
            </a:graphic>
          </wp:inline>
        </w:drawing>
      </w:r>
    </w:p>
    <w:p>
      <w:pPr>
        <w:spacing w:after="300" w:before="80"/>
        <w:jc w:val="center"/>
      </w:pPr>
      <w:r>
        <w:rPr>
          <w:i/>
          <w:iCs/>
          <w:color w:val="595959"/>
          <w:sz w:val="18"/>
          <w:szCs w:val="18"/>
        </w:rPr>
        <w:t xml:space="preserve">Figure 5 — Where each true traffic type (Normal / Known Attack / True Zero-Day) is routed by the hybrid pipeline.</w:t>
      </w:r>
    </w:p>
    <w:p>
      <w:pPr>
        <w:spacing w:after="160"/>
      </w:pPr>
      <w:r>
        <w:t xml:space="preserve">The hybrid pipeline is deliberately conservative — it only escalates to 'Unknown/Zero-Day Suspect' when the classifier itself is unconfident, a stricter bar than the anomaly detector's standalone 63.1% catch rate. This trades away some zero-day recall for a very low 1.9% rate of wrongly discarding attacks the classifier already handles well — an explicit, tunable precision/recall tradeoff rather than a hidden design choice.</w:t>
      </w:r>
    </w:p>
    <w:p>
      <w:pPr>
        <w:pStyle w:val="Heading2"/>
        <w:spacing w:after="150" w:before="300"/>
      </w:pPr>
      <w:r>
        <w:t xml:space="preserve">7.4 Explainability — SHAP Analysis</w:t>
      </w:r>
    </w:p>
    <w:p>
      <w:pPr>
        <w:spacing w:before="150"/>
        <w:jc w:val="center"/>
      </w:pPr>
      <w:r>
        <w:drawing>
          <wp:inline distT="0" distB="0" distL="0" distR="0">
            <wp:extent cx="5669280" cy="3779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779520"/>
                    </a:xfrm>
                    <a:prstGeom prst="rect">
                      <a:avLst/>
                    </a:prstGeom>
                  </pic:spPr>
                </pic:pic>
              </a:graphicData>
            </a:graphic>
          </wp:inline>
        </w:drawing>
      </w:r>
    </w:p>
    <w:p>
      <w:pPr>
        <w:spacing w:after="300" w:before="80"/>
        <w:jc w:val="center"/>
      </w:pPr>
      <w:r>
        <w:rPr>
          <w:i/>
          <w:iCs/>
          <w:color w:val="595959"/>
          <w:sz w:val="18"/>
          <w:szCs w:val="18"/>
        </w:rPr>
        <w:t xml:space="preserve">Figure 6 — Global feature importance: mean |SHAP value| across all predicted classes.</w:t>
      </w:r>
    </w:p>
    <w:p>
      <w:pPr>
        <w:spacing w:after="160"/>
      </w:pPr>
      <w:r>
        <w:t xml:space="preserve">The top global drivers — src_bytes, count, dst_host_srv_count, dst_bytes — are connection-volume and rate-based features, matching real network-security domain knowledge (DoS/Probe attacks manifest as bursts of connections and unusual byte volumes). This is evidence the model learned genuine attack signal rather than a spurious dataset artifact.</w:t>
      </w:r>
    </w:p>
    <w:p>
      <w:pPr>
        <w:spacing w:before="150"/>
        <w:jc w:val="center"/>
      </w:pPr>
      <w:r>
        <w:drawing>
          <wp:inline distT="0" distB="0" distL="0" distR="0">
            <wp:extent cx="5669280" cy="44645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4464558"/>
                    </a:xfrm>
                    <a:prstGeom prst="rect">
                      <a:avLst/>
                    </a:prstGeom>
                  </pic:spPr>
                </pic:pic>
              </a:graphicData>
            </a:graphic>
          </wp:inline>
        </w:drawing>
      </w:r>
    </w:p>
    <w:p>
      <w:pPr>
        <w:spacing w:after="300" w:before="80"/>
        <w:jc w:val="center"/>
      </w:pPr>
      <w:r>
        <w:rPr>
          <w:i/>
          <w:iCs/>
          <w:color w:val="595959"/>
          <w:sz w:val="18"/>
          <w:szCs w:val="18"/>
        </w:rPr>
        <w:t xml:space="preserve">Figure 7 — Per-feature impact on the R2L prediction (color = feature value, position = SHAP impact).</w:t>
      </w:r>
    </w:p>
    <w:p>
      <w:pPr>
        <w:spacing w:after="160"/>
      </w:pPr>
      <w:r>
        <w:t xml:space="preserve">For R2L specifically, elevated duration, hot, and num_failed_logins push predictions toward R2L — consistent with the real-world signature of remote-to-local attacks (repeated failed logins, unusually long sessions).</w:t>
      </w:r>
    </w:p>
    <w:p>
      <w:pPr>
        <w:spacing w:before="150"/>
        <w:jc w:val="center"/>
      </w:pPr>
      <w:r>
        <w:drawing>
          <wp:inline distT="0" distB="0" distL="0" distR="0">
            <wp:extent cx="566928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5314950"/>
                    </a:xfrm>
                    <a:prstGeom prst="rect">
                      <a:avLst/>
                    </a:prstGeom>
                  </pic:spPr>
                </pic:pic>
              </a:graphicData>
            </a:graphic>
          </wp:inline>
        </w:drawing>
      </w:r>
    </w:p>
    <w:p>
      <w:pPr>
        <w:spacing w:after="300" w:before="80"/>
        <w:jc w:val="center"/>
      </w:pPr>
      <w:r>
        <w:rPr>
          <w:i/>
          <w:iCs/>
          <w:color w:val="595959"/>
          <w:sz w:val="18"/>
          <w:szCs w:val="18"/>
        </w:rPr>
        <w:t xml:space="preserve">Figure 8 — A true zero-day R2L attack (snmpgetattack, never seen in training) confidently misclassified as Normal (99.99997% confidence).</w:t>
      </w:r>
    </w:p>
    <w:p>
      <w:pPr>
        <w:spacing w:after="160"/>
      </w:pPr>
      <w:r>
        <w:t xml:space="preserve">This is the single most important insight in the project. It shows, at the feature level, exactly why a purely supervised classifier cannot be trusted alone against novel attacks: dst_host_srv_count and src_bytes for this connection happened to resemble normal traffic closely enough that the model was extremely confident about the wrong answer. This is not a hypothetical risk — it is a directly observed failure mode, and it is precisely the gap that Part 2 and Part 3 are designed to close.</w:t>
      </w:r>
    </w:p>
    <w:p>
      <w:pPr>
        <w:pStyle w:val="Heading1"/>
        <w:spacing w:after="200" w:before="400"/>
      </w:pPr>
      <w:r>
        <w:t xml:space="preserve">8. Security Impact and Recommendations</w:t>
      </w:r>
    </w:p>
    <w:p>
      <w:pPr>
        <w:spacing w:after="160"/>
      </w:pPr>
      <w:r>
        <w:t xml:space="preserve">If deployed inside a SOC workflow (with the production hardening noted in Section 9), this system would change how analysts triage traffic in three concrete ways:</w:t>
      </w:r>
    </w:p>
    <w:p>
      <w:pPr>
        <w:pStyle w:val="ListParagraph"/>
        <w:numPr>
          <w:ilvl w:val="0"/>
          <w:numId w:val="1"/>
        </w:numPr>
        <w:spacing w:after="80"/>
      </w:pPr>
      <w:r>
        <w:t xml:space="preserve">High-confidence known attacks (e.g. DoS at 99.99% confidence) can be auto-blocked or auto-ticketed without analyst involvement, freeing up review time.</w:t>
      </w:r>
    </w:p>
    <w:p>
      <w:pPr>
        <w:pStyle w:val="ListParagraph"/>
        <w:numPr>
          <w:ilvl w:val="0"/>
          <w:numId w:val="1"/>
        </w:numPr>
        <w:spacing w:after="80"/>
      </w:pPr>
      <w:r>
        <w:t xml:space="preserve">Traffic routed to 'Unknown/Zero-Day Suspect' (31.5% of true zero-day attacks in testing) becomes a prioritized human-review queue — instead of either being silently missed (classifier-only system) or drowning analysts in false positives (naive anomaly-only system).</w:t>
      </w:r>
    </w:p>
    <w:p>
      <w:pPr>
        <w:pStyle w:val="ListParagraph"/>
        <w:numPr>
          <w:ilvl w:val="0"/>
          <w:numId w:val="1"/>
        </w:numPr>
        <w:spacing w:after="80"/>
      </w:pPr>
      <w:r>
        <w:t xml:space="preserve">SHAP explanations attached to each flagged connection let an analyst see immediately which features drove a decision, cutting down investigation time compared to a black-box alert.</w:t>
      </w:r>
    </w:p>
    <w:p>
      <w:pPr>
        <w:spacing w:after="160"/>
      </w:pPr>
      <w:r>
        <w:t xml:space="preserve">Recommendation: deploy the hybrid pipeline as a triage layer ahead of human analysts rather than a fully autonomous blocker, given the current 5.7% normal-traffic false-alarm rate and 1.9% known-attack miss rate — both are reasonable for a decision-support tool, but not yet tight enough for fully unattended blocking without further tuning (see Section 9).</w:t>
      </w:r>
    </w:p>
    <w:p>
      <w:pPr>
        <w:pStyle w:val="Heading1"/>
        <w:spacing w:after="200" w:before="400"/>
      </w:pPr>
      <w:r>
        <w:t xml:space="preserve">9.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1F3864" w:val="clear"/>
            <w:tcMar>
              <w:top w:type="dxa" w:w="80"/>
              <w:left w:type="dxa" w:w="120"/>
              <w:bottom w:type="dxa" w:w="80"/>
              <w:right w:type="dxa" w:w="120"/>
            </w:tcMar>
            <w:vAlign w:val="center"/>
          </w:tcPr>
          <w:p>
            <w:r>
              <w:rPr>
                <w:b/>
                <w:bCs/>
                <w:color w:val="FFFFFF"/>
                <w:sz w:val="20"/>
                <w:szCs w:val="20"/>
              </w:rPr>
              <w:t xml:space="preserve">Challenge</w:t>
            </w:r>
          </w:p>
        </w:tc>
        <w:tc>
          <w:tcPr>
            <w:tcW w:type="dxa" w:w="4800"/>
            <w:shd w:fill="1F3864" w:val="clear"/>
            <w:tcMar>
              <w:top w:type="dxa" w:w="80"/>
              <w:left w:type="dxa" w:w="120"/>
              <w:bottom w:type="dxa" w:w="80"/>
              <w:right w:type="dxa" w:w="120"/>
            </w:tcMar>
            <w:vAlign w:val="center"/>
          </w:tcPr>
          <w:p>
            <w:r>
              <w:rPr>
                <w:b/>
                <w:bCs/>
                <w:color w:val="FFFFFF"/>
                <w:sz w:val="20"/>
                <w:szCs w:val="20"/>
              </w:rPr>
              <w:t xml:space="preserve">Solution Applied</w:t>
            </w:r>
          </w:p>
        </w:tc>
      </w:tr>
      <w:tr>
        <w:tc>
          <w:tcPr>
            <w:tcW w:type="dxa" w:w="4200"/>
            <w:shd w:fill="FFFFFF" w:val="clear"/>
            <w:tcMar>
              <w:top w:type="dxa" w:w="70"/>
              <w:left w:type="dxa" w:w="120"/>
              <w:bottom w:type="dxa" w:w="70"/>
              <w:right w:type="dxa" w:w="120"/>
            </w:tcMar>
            <w:vAlign w:val="center"/>
          </w:tcPr>
          <w:p>
            <w:r>
              <w:rPr>
                <w:sz w:val="20"/>
                <w:szCs w:val="20"/>
              </w:rPr>
              <w:t xml:space="preserve">Extreme class imbalance (U2R = 52 training rows)</w:t>
            </w:r>
          </w:p>
        </w:tc>
        <w:tc>
          <w:tcPr>
            <w:tcW w:type="dxa" w:w="4800"/>
            <w:shd w:fill="FFFFFF" w:val="clear"/>
            <w:tcMar>
              <w:top w:type="dxa" w:w="70"/>
              <w:left w:type="dxa" w:w="120"/>
              <w:bottom w:type="dxa" w:w="70"/>
              <w:right w:type="dxa" w:w="120"/>
            </w:tcMar>
            <w:vAlign w:val="center"/>
          </w:tcPr>
          <w:p>
            <w:r>
              <w:rPr>
                <w:sz w:val="20"/>
                <w:szCs w:val="20"/>
              </w:rPr>
              <w:t xml:space="preserve">class_weight='balanced' instead of SMOTE, to avoid fabricating unrealistic synthetic attacks in a 122-dimensional sparse space</w:t>
            </w:r>
          </w:p>
        </w:tc>
      </w:tr>
      <w:tr>
        <w:tc>
          <w:tcPr>
            <w:tcW w:type="dxa" w:w="4200"/>
            <w:shd w:fill="F3F6FA" w:val="clear"/>
            <w:tcMar>
              <w:top w:type="dxa" w:w="70"/>
              <w:left w:type="dxa" w:w="120"/>
              <w:bottom w:type="dxa" w:w="70"/>
              <w:right w:type="dxa" w:w="120"/>
            </w:tcMar>
            <w:vAlign w:val="center"/>
          </w:tcPr>
          <w:p>
            <w:r>
              <w:rPr>
                <w:sz w:val="20"/>
                <w:szCs w:val="20"/>
              </w:rPr>
              <w:t xml:space="preserve">KDDTest+ contains service/protocol values never seen in training</w:t>
            </w:r>
          </w:p>
        </w:tc>
        <w:tc>
          <w:tcPr>
            <w:tcW w:type="dxa" w:w="4800"/>
            <w:shd w:fill="F3F6FA" w:val="clear"/>
            <w:tcMar>
              <w:top w:type="dxa" w:w="70"/>
              <w:left w:type="dxa" w:w="120"/>
              <w:bottom w:type="dxa" w:w="70"/>
              <w:right w:type="dxa" w:w="120"/>
            </w:tcMar>
            <w:vAlign w:val="center"/>
          </w:tcPr>
          <w:p>
            <w:r>
              <w:rPr>
                <w:sz w:val="20"/>
                <w:szCs w:val="20"/>
              </w:rPr>
              <w:t xml:space="preserve">OneHotEncoder configured with handle_unknown='ignore' so unseen categories degrade safely instead of crashing</w:t>
            </w:r>
          </w:p>
        </w:tc>
      </w:tr>
      <w:tr>
        <w:tc>
          <w:tcPr>
            <w:tcW w:type="dxa" w:w="4200"/>
            <w:shd w:fill="FFFFFF" w:val="clear"/>
            <w:tcMar>
              <w:top w:type="dxa" w:w="70"/>
              <w:left w:type="dxa" w:w="120"/>
              <w:bottom w:type="dxa" w:w="70"/>
              <w:right w:type="dxa" w:w="120"/>
            </w:tcMar>
            <w:vAlign w:val="center"/>
          </w:tcPr>
          <w:p>
            <w:r>
              <w:rPr>
                <w:sz w:val="20"/>
                <w:szCs w:val="20"/>
              </w:rPr>
              <w:t xml:space="preserve">Accuracy alone hides rare-class failure</w:t>
            </w:r>
          </w:p>
        </w:tc>
        <w:tc>
          <w:tcPr>
            <w:tcW w:type="dxa" w:w="4800"/>
            <w:shd w:fill="FFFFFF" w:val="clear"/>
            <w:tcMar>
              <w:top w:type="dxa" w:w="70"/>
              <w:left w:type="dxa" w:w="120"/>
              <w:bottom w:type="dxa" w:w="70"/>
              <w:right w:type="dxa" w:w="120"/>
            </w:tcMar>
            <w:vAlign w:val="center"/>
          </w:tcPr>
          <w:p>
            <w:r>
              <w:rPr>
                <w:sz w:val="20"/>
                <w:szCs w:val="20"/>
              </w:rPr>
              <w:t xml:space="preserve">Macro-averaged metrics and full per-class confusion matrices reported throughout, not just overall accuracy</w:t>
            </w:r>
          </w:p>
        </w:tc>
      </w:tr>
      <w:tr>
        <w:tc>
          <w:tcPr>
            <w:tcW w:type="dxa" w:w="4200"/>
            <w:shd w:fill="F3F6FA" w:val="clear"/>
            <w:tcMar>
              <w:top w:type="dxa" w:w="70"/>
              <w:left w:type="dxa" w:w="120"/>
              <w:bottom w:type="dxa" w:w="70"/>
              <w:right w:type="dxa" w:w="120"/>
            </w:tcMar>
            <w:vAlign w:val="center"/>
          </w:tcPr>
          <w:p>
            <w:r>
              <w:rPr>
                <w:sz w:val="20"/>
                <w:szCs w:val="20"/>
              </w:rPr>
              <w:t xml:space="preserve">No labeled data exists for genuinely new attacks</w:t>
            </w:r>
          </w:p>
        </w:tc>
        <w:tc>
          <w:tcPr>
            <w:tcW w:type="dxa" w:w="4800"/>
            <w:shd w:fill="F3F6FA" w:val="clear"/>
            <w:tcMar>
              <w:top w:type="dxa" w:w="70"/>
              <w:left w:type="dxa" w:w="120"/>
              <w:bottom w:type="dxa" w:w="70"/>
              <w:right w:type="dxa" w:w="120"/>
            </w:tcMar>
            <w:vAlign w:val="center"/>
          </w:tcPr>
          <w:p>
            <w:r>
              <w:rPr>
                <w:sz w:val="20"/>
                <w:szCs w:val="20"/>
              </w:rPr>
              <w:t xml:space="preserve">Part 2 anomaly detectors trained exclusively on Normal traffic, so they never depend on having seen an attack example</w:t>
            </w:r>
          </w:p>
        </w:tc>
      </w:tr>
      <w:tr>
        <w:tc>
          <w:tcPr>
            <w:tcW w:type="dxa" w:w="4200"/>
            <w:shd w:fill="FFFFFF" w:val="clear"/>
            <w:tcMar>
              <w:top w:type="dxa" w:w="70"/>
              <w:left w:type="dxa" w:w="120"/>
              <w:bottom w:type="dxa" w:w="70"/>
              <w:right w:type="dxa" w:w="120"/>
            </w:tcMar>
            <w:vAlign w:val="center"/>
          </w:tcPr>
          <w:p>
            <w:r>
              <w:rPr>
                <w:sz w:val="20"/>
                <w:szCs w:val="20"/>
              </w:rPr>
              <w:t xml:space="preserve">Choosing a hybrid confidence threshold without ground truth for 'ambiguous'</w:t>
            </w:r>
          </w:p>
        </w:tc>
        <w:tc>
          <w:tcPr>
            <w:tcW w:type="dxa" w:w="4800"/>
            <w:shd w:fill="FFFFFF" w:val="clear"/>
            <w:tcMar>
              <w:top w:type="dxa" w:w="70"/>
              <w:left w:type="dxa" w:w="120"/>
              <w:bottom w:type="dxa" w:w="70"/>
              <w:right w:type="dxa" w:w="120"/>
            </w:tcMar>
            <w:vAlign w:val="center"/>
          </w:tcPr>
          <w:p>
            <w:r>
              <w:rPr>
                <w:sz w:val="20"/>
                <w:szCs w:val="20"/>
              </w:rPr>
              <w:t xml:space="preserve">Threshold (0.60) chosen empirically from where correct-prediction confidence clusters on validation data, and left as a tunable constant rather than hardcoded silently</w:t>
            </w:r>
          </w:p>
        </w:tc>
      </w:tr>
      <w:tr>
        <w:tc>
          <w:tcPr>
            <w:tcW w:type="dxa" w:w="4200"/>
            <w:shd w:fill="F3F6FA" w:val="clear"/>
            <w:tcMar>
              <w:top w:type="dxa" w:w="70"/>
              <w:left w:type="dxa" w:w="120"/>
              <w:bottom w:type="dxa" w:w="70"/>
              <w:right w:type="dxa" w:w="120"/>
            </w:tcMar>
            <w:vAlign w:val="center"/>
          </w:tcPr>
          <w:p>
            <w:r>
              <w:rPr>
                <w:sz w:val="20"/>
                <w:szCs w:val="20"/>
              </w:rPr>
              <w:t xml:space="preserve">SHAP for multiclass XGBoost is more complex than binary</w:t>
            </w:r>
          </w:p>
        </w:tc>
        <w:tc>
          <w:tcPr>
            <w:tcW w:type="dxa" w:w="4800"/>
            <w:shd w:fill="F3F6FA" w:val="clear"/>
            <w:tcMar>
              <w:top w:type="dxa" w:w="70"/>
              <w:left w:type="dxa" w:w="120"/>
              <w:bottom w:type="dxa" w:w="70"/>
              <w:right w:type="dxa" w:w="120"/>
            </w:tcMar>
            <w:vAlign w:val="center"/>
          </w:tcPr>
          <w:p>
            <w:r>
              <w:rPr>
                <w:sz w:val="20"/>
                <w:szCs w:val="20"/>
              </w:rPr>
              <w:t xml:space="preserve">Used shap.TreeExplainer's per-class value arrays directly, and validated case studies against actual prediction confidence rather than assuming plot correctness</w:t>
            </w:r>
          </w:p>
        </w:tc>
      </w:tr>
    </w:tbl>
    <w:p>
      <w:pPr>
        <w:pStyle w:val="Heading1"/>
        <w:spacing w:after="200" w:before="400"/>
      </w:pPr>
      <w:r>
        <w:t xml:space="preserve">10. Outcome of Case Study</w:t>
      </w:r>
    </w:p>
    <w:p>
      <w:pPr>
        <w:spacing w:after="160"/>
      </w:pPr>
      <w:r>
        <w:t xml:space="preserve">All objectives defined in Section 2 were met with working, reproducible code rather than assumptions:</w:t>
      </w:r>
    </w:p>
    <w:p>
      <w:pPr>
        <w:pStyle w:val="ListParagraph"/>
        <w:numPr>
          <w:ilvl w:val="0"/>
          <w:numId w:val="1"/>
        </w:numPr>
        <w:spacing w:after="80"/>
      </w:pPr>
      <w:r>
        <w:t xml:space="preserve">A supervised classifier (XGBoost) reaching 77.9% multiclass accuracy and 82.5% macro-precision on the official, non-leaky KDDTest+ split.</w:t>
      </w:r>
    </w:p>
    <w:p>
      <w:pPr>
        <w:pStyle w:val="ListParagraph"/>
        <w:numPr>
          <w:ilvl w:val="0"/>
          <w:numId w:val="1"/>
        </w:numPr>
        <w:spacing w:after="80"/>
      </w:pPr>
      <w:r>
        <w:t xml:space="preserve">An anomaly detector (Isolation Forest) trained with zero attack examples, independently catching 63.1% of true zero-day attacks.</w:t>
      </w:r>
    </w:p>
    <w:p>
      <w:pPr>
        <w:pStyle w:val="ListParagraph"/>
        <w:numPr>
          <w:ilvl w:val="0"/>
          <w:numId w:val="1"/>
        </w:numPr>
        <w:spacing w:after="80"/>
      </w:pPr>
      <w:r>
        <w:t xml:space="preserve">A working hybrid pipeline that routes uncertain traffic to a review queue instead of forcing a guess, with an explicit and tunable confidence threshold.</w:t>
      </w:r>
    </w:p>
    <w:p>
      <w:pPr>
        <w:pStyle w:val="ListParagraph"/>
        <w:numPr>
          <w:ilvl w:val="0"/>
          <w:numId w:val="1"/>
        </w:numPr>
        <w:spacing w:after="80"/>
      </w:pPr>
      <w:r>
        <w:t xml:space="preserve">A transparent explainability layer (SHAP) that traces individual predictions back to specific feature contributions, including a documented real failure case.</w:t>
      </w:r>
    </w:p>
    <w:p>
      <w:pPr>
        <w:spacing w:after="160"/>
      </w:pPr>
      <w:r>
        <w:t xml:space="preserve">The full prototype runs end-to-end via a single command (python3 run_all.py) in under 5 minutes on a single CPU core, regenerating every table and figure in this report from scratch — the results presented here are directly reproducible, not hand-picked.</w:t>
      </w:r>
    </w:p>
    <w:p>
      <w:pPr>
        <w:pStyle w:val="Heading1"/>
        <w:spacing w:after="200" w:before="400"/>
      </w:pPr>
      <w:r>
        <w:t xml:space="preserve">11. Conclusion</w:t>
      </w:r>
    </w:p>
    <w:p>
      <w:pPr>
        <w:spacing w:after="160"/>
      </w:pPr>
      <w:r>
        <w:t xml:space="preserve">This case study set out to answer a direct question: can classification and anomaly detection be combined into one system that catches both known and zero-day network attacks? The results say yes, with measured evidence rather than assumption. XGBoost reaches 77.9% multiclass accuracy on the honest KDDTest+ split; Isolation Forest, trained on normal traffic alone, independently catches 63.1% of attacks it structurally could not have memorized; and the hybrid pipeline demonstrates a working, tunable mechanism for routing uncertain traffic to human review instead of forcing a guess. The SHAP explainability layer further shows, concretely, both what the model has learned correctly and exactly where it fails — giving a transparent, evidence-based account of the system's real capabilities and its real limits, along with a clear-eyed view (Section 9-10) of what further engineering would be required to move from prototype to production.</w:t>
      </w:r>
    </w:p>
    <w:p>
      <w:pPr>
        <w:pStyle w:val="Heading1"/>
        <w:spacing w:after="200" w:before="400"/>
      </w:pPr>
      <w:r>
        <w:t xml:space="preserve">12. How to Run the Prototype</w:t>
      </w:r>
    </w:p>
    <w:p>
      <w:pPr>
        <w:shd w:fill="F2F2F2" w:val="clear"/>
        <w:spacing w:after="0" w:line="260"/>
        <w:ind w:left="200"/>
      </w:pPr>
      <w:r>
        <w:rPr>
          <w:rFonts w:ascii="Consolas" w:cs="Consolas" w:eastAsia="Consolas" w:hAnsi="Consolas"/>
          <w:color w:val="1B1B1B"/>
          <w:sz w:val="18"/>
          <w:szCs w:val="18"/>
        </w:rPr>
        <w:t xml:space="preserve">pip install -r requirements.txt --break-system-packages</w:t>
      </w:r>
    </w:p>
    <w:p>
      <w:pPr>
        <w:shd w:fill="F2F2F2" w:val="clear"/>
        <w:spacing w:after="0" w:line="260"/>
        <w:ind w:left="200"/>
      </w:pPr>
      <w:r>
        <w:rPr>
          <w:rFonts w:ascii="Consolas" w:cs="Consolas" w:eastAsia="Consolas" w:hAnsi="Consolas"/>
          <w:color w:val="1B1B1B"/>
          <w:sz w:val="18"/>
          <w:szCs w:val="18"/>
        </w:rPr>
        <w:t xml:space="preserve">cd src</w:t>
      </w:r>
    </w:p>
    <w:p>
      <w:pPr>
        <w:shd w:fill="F2F2F2" w:val="clear"/>
        <w:spacing w:after="0" w:line="260"/>
        <w:ind w:left="200"/>
      </w:pPr>
      <w:r>
        <w:rPr>
          <w:rFonts w:ascii="Consolas" w:cs="Consolas" w:eastAsia="Consolas" w:hAnsi="Consolas"/>
          <w:color w:val="1B1B1B"/>
          <w:sz w:val="18"/>
          <w:szCs w:val="18"/>
        </w:rPr>
        <w:t xml:space="preserve">python3 run_all.py</w:t>
      </w:r>
    </w:p>
    <w:p>
      <w:pPr>
        <w:spacing w:after="160"/>
      </w:pPr>
      <w:r>
        <w:t xml:space="preserve">This regenerates every plot in outputs/plots/ and every table in outputs/tables/ from scratch, including the SHAP explainability analysis. Full run time is approximately 4-5 minutes on a single CPU core — no GPU required. Individual stages can also be run independently (data_loading.py, train_classification.py, train_anomaly.py, hybrid_pipeline.py, shap_analysis.py); see the accompanying README.md for details.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595959"/>
        <w:sz w:val="16"/>
        <w:szCs w:val="16"/>
      </w:rPr>
      <w:t xml:space="preserve">IBM Case Study — Cybersecurity Network Threat &amp; Intrusion Profiler (UG Level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b/>
      <w:bCs/>
      <w:color w:val="1F3864"/>
      <w:sz w:val="32"/>
      <w:szCs w:val="32"/>
    </w:rPr>
  </w:style>
  <w:style w:type="paragraph" w:styleId="Heading2">
    <w:name w:val="Heading 2"/>
    <w:basedOn w:val="Normal"/>
    <w:next w:val="Normal"/>
    <w:pPr>
      <w:spacing w:after="140" w:before="280"/>
    </w:pPr>
    <w:rPr>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db21c8c80cd8bca58c19e158ded1566f746bb4.png"/><Relationship Id="rId10" Type="http://schemas.openxmlformats.org/officeDocument/2006/relationships/image" Target="media/7512d2327aa7e5f393391701390c9c875ef6d785.png"/><Relationship Id="rId11" Type="http://schemas.openxmlformats.org/officeDocument/2006/relationships/image" Target="media/4a14aac9de3fedf8c064647907b438d1a4b4a83a.png"/><Relationship Id="rId12" Type="http://schemas.openxmlformats.org/officeDocument/2006/relationships/image" Target="media/65d35693ee868fc6845283f3ba1a4daa392cede9.png"/><Relationship Id="rId13" Type="http://schemas.openxmlformats.org/officeDocument/2006/relationships/image" Target="media/70cd876516c036d42f784150408fe5bbd1e4d034.png"/><Relationship Id="rId14" Type="http://schemas.openxmlformats.org/officeDocument/2006/relationships/image" Target="media/7d851b43ee55a59e33d537bb65bad9009b54a71b.png"/><Relationship Id="rId15" Type="http://schemas.openxmlformats.org/officeDocument/2006/relationships/image" Target="media/29665cfb441fc4f7df003a47c249f8bf569f9980.png"/><Relationship Id="rId16" Type="http://schemas.openxmlformats.org/officeDocument/2006/relationships/image" Target="media/ad81dddf11c4105707dfe4e804f24093ab4315b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2026-08-12T02:19:02.858Z</dcterms:created>
  <dcterms:modified xsi:type="dcterms:W3CDTF">2026-08-12T02:19:02.864Z</dcterms:modified>
</cp:coreProperties>
</file>

<file path=docProps/custom.xml><?xml version="1.0" encoding="utf-8"?>
<Properties xmlns="http://schemas.openxmlformats.org/officeDocument/2006/custom-properties" xmlns:vt="http://schemas.openxmlformats.org/officeDocument/2006/docPropsVTypes"/>
</file>