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2933"/>
          <w:sz w:val="30"/>
          <w:szCs w:val="30"/>
        </w:rPr>
        <w:t xml:space="preserve">Conformal Prediction for Reliable ICAO Face-Image Compliance Verification:</w:t>
      </w:r>
    </w:p>
    <w:p>
      <w:pPr>
        <w:spacing w:after="160"/>
        <w:jc w:val="center"/>
      </w:pPr>
      <w:r>
        <w:rPr>
          <w:b/>
          <w:bCs/>
          <w:color w:val="1f2933"/>
          <w:sz w:val="30"/>
          <w:szCs w:val="30"/>
        </w:rPr>
        <w:t xml:space="preserve">Coverage Guarantees and Retake Reduction</w:t>
      </w:r>
    </w:p>
    <w:p>
      <w:pPr>
        <w:spacing w:after="40"/>
        <w:jc w:val="center"/>
      </w:pPr>
      <w:r>
        <w:rPr>
          <w:color w:val="1f2933"/>
          <w:sz w:val="22"/>
          <w:szCs w:val="22"/>
        </w:rPr>
        <w:t xml:space="preserve">Mustafa Vedat Yıldırım · Inna Skarga-Bandurova</w:t>
      </w:r>
    </w:p>
    <w:p>
      <w:pPr>
        <w:spacing w:after="20"/>
        <w:jc w:val="center"/>
      </w:pPr>
      <w:r>
        <w:rPr>
          <w:color w:val="8a8f98"/>
          <w:sz w:val="18"/>
          <w:szCs w:val="18"/>
        </w:rPr>
        <w:t xml:space="preserve">Oxford Brookes University — School of Engineering, Computing and Mathematics</w:t>
      </w:r>
    </w:p>
    <w:p>
      <w:pPr>
        <w:spacing w:after="200"/>
        <w:jc w:val="center"/>
      </w:pPr>
      <w:r>
        <w:rPr>
          <w:i/>
          <w:iCs/>
          <w:color w:val="8a8f98"/>
          <w:sz w:val="18"/>
          <w:szCs w:val="18"/>
        </w:rPr>
        <w:t xml:space="preserve">Draft — methodology &amp; results (introduction / related work to be expanded)</w:t>
      </w:r>
    </w:p>
    <w:p>
      <w:pPr>
        <w:pStyle w:val="Heading1"/>
        <w:spacing w:after="120" w:before="260"/>
      </w:pPr>
      <w:r>
        <w:t xml:space="preserve">Abstract</w:t>
      </w:r>
    </w:p>
    <w:p>
      <w:pPr>
        <w:spacing w:after="140"/>
        <w:jc w:val="both"/>
      </w:pPr>
      <w:r>
        <w:t xml:space="preserve">Automated verification of ICAO/ISO compliance for face images in machine-readable travel documents is typically performed by rule-based analyzers that return hard pass/fail decisions per requirement. Such decisions carry no statistical guarantee, and their false rejections translate directly into unnecessary photo retakes. We propose a lightweight calibration layer that wraps an existing rule-based analyzer (BioGaze) with split conformal prediction, attaching a distribution-free coverage guarantee to each per-criterion compliance decision and yielding an ACCEPT / REJECT / RETAKE framework. Using the TONO synthetic dataset (4,561 valid images, single-violation partition providing per-criterion ground truth), we show that empirical coverage holds across all 14 ICAO criteria, averaging 0.9024 at a target of 0.90. Relative to the raw rule-based analyzer, the conformal layer reduces unnecessary per-criterion rejections by 76.3% (1,748 to 414) while preserving the coverage guarantee; true violations about which the layer is uncertain are routed to RETAKE rather than silently accepted. We complement the decisions with region-level explanations aligned with pixel-level face-image-quality interpretability. The approach adds statistical rigour and interpretability to any rule-based compliance tool without retraining it.</w:t>
      </w:r>
    </w:p>
    <w:p>
      <w:pPr>
        <w:pStyle w:val="Heading1"/>
        <w:spacing w:after="120" w:before="260"/>
      </w:pPr>
      <w:r>
        <w:t xml:space="preserve">1. Introduction</w:t>
      </w:r>
    </w:p>
    <w:p>
      <w:pPr>
        <w:spacing w:after="140"/>
        <w:jc w:val="both"/>
      </w:pPr>
      <w:r>
        <w:t xml:space="preserve">Face images for passports and identity documents must satisfy strict photographic and subject requirements defined by ICAO Doc 9303 and the ISO/IEC 39794-5 / 19794-5 standards. Automated compliance checkers reduce manual effort at enrolment, but they generally output deterministic pass/fail verdicts per requirement, with no notion of confidence. In deployment this has a concrete cost: whenever the checker wrongly flags a compliant photo, the applicant is asked to retake it — an unnecessary retake that wastes time at the counter and degrades user experience.</w:t>
      </w:r>
    </w:p>
    <w:p>
      <w:pPr>
        <w:spacing w:after="140"/>
        <w:jc w:val="both"/>
      </w:pPr>
      <w:r>
        <w:t xml:space="preserve">This paper asks whether the outputs of an existing rule-based compliance analyzer can be endowed with a statistical guarantee and turned into a more economical accept/reject/retake decision, without modifying or retraining the analyzer. We answer affirmatively using conformal prediction, a distribution-free framework that converts any predictor's scores into prediction sets with a user-chosen coverage level.</w:t>
      </w:r>
    </w:p>
    <w:p>
      <w:pPr>
        <w:spacing w:after="140"/>
      </w:pPr>
      <w:r>
        <w:rPr>
          <w:i/>
          <w:iCs/>
          <w:color w:val="8a8f98"/>
        </w:rPr>
        <w:t xml:space="preserve">[To be expanded with supervisor: motivation, positioning, and a sharper statement of the gap.]</w:t>
      </w:r>
    </w:p>
    <w:p>
      <w:pPr>
        <w:spacing w:after="60"/>
      </w:pPr>
      <w:r>
        <w:rPr>
          <w:b/>
          <w:bCs/>
        </w:rPr>
        <w:t xml:space="preserve">Contributions.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t xml:space="preserve">A model-agnostic conformal calibration layer that wraps a rule-based ICAO analyzer (BioGaze) and gives each of 14 per-criterion decisions a 90% coverage guarantee.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t xml:space="preserve">An ACCEPT / REJECT / RETAKE decision framework derived from the conformal prediction sets, which cuts unnecessary per-criterion rejections by 76.3% while preserving the guarantee.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t xml:space="preserve">An evaluation protocol on the TONO synthetic dataset whose single-violation structure yields clean per-criterion ground truth, together with region-level explanations of the decisions.</w:t>
      </w:r>
    </w:p>
    <w:p>
      <w:pPr>
        <w:pStyle w:val="Heading1"/>
        <w:spacing w:after="120" w:before="260"/>
      </w:pPr>
      <w:r>
        <w:t xml:space="preserve">2. Related Work</w:t>
      </w:r>
    </w:p>
    <w:p>
      <w:pPr>
        <w:spacing w:after="140"/>
        <w:jc w:val="both"/>
      </w:pPr>
      <w:r>
        <w:t xml:space="preserve">Face Image Quality Assessment (FIQA) and ICAO/ISO compliance checking. Explainable and pixel-level FIQA. Conformal prediction and uncertainty quantification in computer vision. Rule-based compliance tools (BioLab-ICAO, BioGaze) and synthetic benchmarks (TONO).</w:t>
      </w:r>
    </w:p>
    <w:p>
      <w:pPr>
        <w:spacing w:after="140"/>
      </w:pPr>
      <w:r>
        <w:rPr>
          <w:i/>
          <w:iCs/>
          <w:color w:val="8a8f98"/>
        </w:rPr>
        <w:t xml:space="preserve">[To be expanded with supervisor into full prose with citations.]</w:t>
      </w:r>
    </w:p>
    <w:p>
      <w:pPr>
        <w:pStyle w:val="Heading1"/>
        <w:spacing w:after="120" w:before="260"/>
      </w:pPr>
      <w:r>
        <w:t xml:space="preserve">3. Method</w:t>
      </w:r>
    </w:p>
    <w:p>
      <w:pPr>
        <w:spacing w:after="140"/>
        <w:jc w:val="both"/>
      </w:pPr>
      <w:r>
        <w:t xml:space="preserve">Figure 1 gives an overview: BioGaze analyses the input image and emits per-criterion decisions and continuous metrics; these form a feature vector on which a per-criterion split-conformal predictor is calibrated to produce guaranteed prediction sets, which are mapped to an ACCEPT / REJECT / RETAKE decision. The analyzer itself is treated as a black box and is not retrained.</w:t>
      </w:r>
    </w:p>
    <w:p>
      <w:pPr>
        <w:spacing w:after="40" w:before="120"/>
        <w:jc w:val="center"/>
      </w:pPr>
      <w:r>
        <w:drawing>
          <wp:inline distT="0" distB="0" distL="0" distR="0">
            <wp:extent cx="4953000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1f2933"/>
          <w:sz w:val="18"/>
          <w:szCs w:val="18"/>
        </w:rPr>
        <w:t xml:space="preserve">Figure 1. Model-agnostic conformal layer wrapping a rule-based ICAO compliance analyzer.</w:t>
      </w:r>
    </w:p>
    <w:p>
      <w:pPr>
        <w:pStyle w:val="Heading2"/>
        <w:spacing w:after="90" w:before="180"/>
      </w:pPr>
      <w:r>
        <w:t xml:space="preserve">3.1 Rule-based compliance analyzer</w:t>
      </w:r>
    </w:p>
    <w:p>
      <w:pPr>
        <w:spacing w:after="140"/>
        <w:jc w:val="both"/>
      </w:pPr>
      <w:r>
        <w:t xml:space="preserve">We use BioGaze, an open-source ISO/ICAO face-image analyzer that combines segmentation, facial-landmark, head-pose, gaze and expression sub-models with computer-vision measurements. For each input image it returns a binary decision for 14 ICAO criteria (e.g. head uncovered, eyes open, no sunglasses, neutral expression, frontal pose, correct exposure/saturation, uniform background and face lighting, absence of pixelation/posterization) plus continuous metrics (head-pose angles, inter-eye distance, eye/mouth openness). We treat BioGaze strictly as a black box and do not retrain it.</w:t>
      </w:r>
    </w:p>
    <w:p>
      <w:pPr>
        <w:pStyle w:val="Heading2"/>
        <w:spacing w:after="90" w:before="180"/>
      </w:pPr>
      <w:r>
        <w:t xml:space="preserve">3.2 Dataset and per-criterion ground truth</w:t>
      </w:r>
    </w:p>
    <w:p>
      <w:pPr>
        <w:spacing w:after="140"/>
        <w:jc w:val="both"/>
      </w:pPr>
      <w:r>
        <w:t xml:space="preserve">We evaluate on the TONO synthetic dataset (single-violation partition), which contains face images organised into folders by the single ICAO requirement each image violates. This folder structure provides exact per-criterion ground truth: an image drawn from the folder for criterion c violates c and is compliant on every other criterion. Running BioGaze over the partition yields 4,561 images with a valid single-face analysis, which we use for all experiments. Because the dataset is synthetic and single-violation, it isolates each requirement cleanly; validation on real, multi-violation data is left to future work.</w:t>
      </w:r>
    </w:p>
    <w:p>
      <w:pPr>
        <w:pStyle w:val="Heading2"/>
        <w:spacing w:after="90" w:before="180"/>
      </w:pPr>
      <w:r>
        <w:t xml:space="preserve">3.3 Conformal calibration layer</w:t>
      </w:r>
    </w:p>
    <w:p>
      <w:pPr>
        <w:spacing w:after="140"/>
        <w:jc w:val="both"/>
      </w:pPr>
      <w:r>
        <w:t xml:space="preserve">For each criterion c we form a feature vector from BioGaze's outputs — its 14 binary decisions together with the continuous metrics — and fit a probabilistic classifier to predict the ground-truth label (violation vs. compliant) for c. We then apply split (inductive) conformal prediction with the LAC (least-ambiguous-set) non-conformity score. The data are partitioned once into training (60%), calibration (20%) and test (20%) sets, stratified by violation type; the classifier is fit on the training split, the conformal threshold is calibrated on the calibration split, and coverage is measured on the held-out test split. For a target error rate α = 0.10 the procedure returns, per image and per criterion, a prediction set over {compliant, violation} whose marginal coverage is guaranteed to be at least 1 − α = 0.90, independently of the (rule-based) analyzer's internal behaviour — this is the distribution-free property of conformal prediction.</w:t>
      </w:r>
    </w:p>
    <w:p>
      <w:pPr>
        <w:pStyle w:val="Heading2"/>
        <w:spacing w:after="90" w:before="180"/>
      </w:pPr>
      <w:r>
        <w:t xml:space="preserve">3.4 ACCEPT / REJECT / RETAKE decision framework</w:t>
      </w:r>
    </w:p>
    <w:p>
      <w:pPr>
        <w:spacing w:after="140"/>
        <w:jc w:val="both"/>
      </w:pPr>
      <w:r>
        <w:t xml:space="preserve">The per-criterion prediction sets are mapped to an image-level decision. A criterion whose set is the singleton {violation} is a confident failure; a set that still contains {compliant} is treated as non-confident on that criterion. An image is REJECTED if any criterion is a confident failure, ACCEPTED if every criterion is confidently compliant, and otherwise sent to RETAKE. Crucially, a true violation about which the layer is uncertain is routed to RETAKE — it is never silently accepted.</w:t>
      </w:r>
    </w:p>
    <w:p>
      <w:pPr>
        <w:pStyle w:val="Heading2"/>
        <w:spacing w:after="90" w:before="180"/>
      </w:pPr>
      <w:r>
        <w:t xml:space="preserve">3.5 Region-level explanations</w:t>
      </w:r>
    </w:p>
    <w:p>
      <w:pPr>
        <w:spacing w:after="140"/>
        <w:jc w:val="both"/>
      </w:pPr>
      <w:r>
        <w:t xml:space="preserve">Following the pixel-level interpretability line of FIQA research, and to remain faithful to the rule-based nature of the analyzer, we explain each decision by the facial region on which it is measured rather than by gradient-based saliency over a single end-to-end network. Segmentation-driven criteria (background, head covering, glasses/sunglasses, illumination, saturation) are explained by the analyzer's face-parsing map; landmark-driven criteria (eye openness, expression, pose, makeup) by the detected 68-point landmark geometry.</w:t>
      </w:r>
    </w:p>
    <w:p>
      <w:pPr>
        <w:pStyle w:val="Heading1"/>
        <w:spacing w:after="120" w:before="260"/>
      </w:pPr>
      <w:r>
        <w:t xml:space="preserve">4. Results</w:t>
      </w:r>
    </w:p>
    <w:p>
      <w:pPr>
        <w:pStyle w:val="Heading2"/>
        <w:spacing w:after="90" w:before="180"/>
      </w:pPr>
      <w:r>
        <w:t xml:space="preserve">4.1 Coverage guarantee</w:t>
      </w:r>
    </w:p>
    <w:p>
      <w:pPr>
        <w:spacing w:after="140"/>
        <w:jc w:val="both"/>
      </w:pPr>
      <w:r>
        <w:t xml:space="preserve">Table 1 and Figure 2 report empirical coverage on the test split. Across all 14 criteria the coverage clusters tightly around the 0.90 target, with mean 0.9024 (range 0.880–0.922). The per-criterion scatter above and below 0.90 is the expected finite-sample behaviour of marginal conformal prediction: individual criteria fluctuate around the target while their mean matches it. This confirms that the distribution-free guarantee transfers to the rule-based analyzer's decisions in practice.</w:t>
      </w:r>
    </w:p>
    <w:p>
      <w:pPr>
        <w:spacing w:after="40" w:before="120"/>
        <w:jc w:val="center"/>
      </w:pPr>
      <w:r>
        <w:drawing>
          <wp:inline distT="0" distB="0" distL="0" distR="0">
            <wp:extent cx="47625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1f2933"/>
          <w:sz w:val="18"/>
          <w:szCs w:val="18"/>
        </w:rPr>
        <w:t xml:space="preserve">Figure 2. Empirical per-criterion coverage vs. the 90% target guarantee (TONO, 4,561 images).</w:t>
      </w:r>
    </w:p>
    <w:p>
      <w:pPr>
        <w:spacing w:after="80"/>
      </w:pPr>
      <w:r>
        <w:rPr>
          <w:b/>
          <w:bCs/>
        </w:rPr>
        <w:t xml:space="preserve">Table 1. </w:t>
      </w:r>
      <w:r>
        <w:t xml:space="preserve">Per-criterion empirical coverage (target 0.90) and coverage conditional on true violations.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200"/>
      </w:tblGrid>
      <w:tr>
        <w:trPr>
          <w:tblHeader/>
        </w:trPr>
        <w:tc>
          <w:tcPr>
            <w:tcW w:type="dxa" w:w="3200"/>
            <w:shd w:fill="0f9d8f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ICAO criterion</w:t>
            </w:r>
          </w:p>
        </w:tc>
        <w:tc>
          <w:tcPr>
            <w:tcW w:type="dxa" w:w="1800"/>
            <w:shd w:fill="0f9d8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  <w:tc>
          <w:tcPr>
            <w:tcW w:type="dxa" w:w="2200"/>
            <w:shd w:fill="0f9d8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Coverage | violations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Head uncovered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0.920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0.965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Eyes open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0.920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0.979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No sunglasses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0.921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0.735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No posterization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0.909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0.452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Gaze in camera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0.912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0.886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Neutral expression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0.906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0.839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In focus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0.890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0.629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Correct exposure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0.906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0.935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No/light makeup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0.890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0.923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No pixelation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0.882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0.629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Frontal pose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0.880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0.966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Correct saturation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0.890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0.857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Uniform background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0.922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0.887</w:t>
            </w:r>
          </w:p>
        </w:tc>
      </w:tr>
      <w:tr>
        <w:tc>
          <w:tcPr>
            <w:tcW w:type="dxa" w:w="3200"/>
          </w:tcPr>
          <w:p>
            <w:pPr>
              <w:jc w:val="left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Uniform face lighting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0.886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color w:val="1f2933"/>
                <w:sz w:val="18"/>
                <w:szCs w:val="18"/>
              </w:rPr>
              <w:t xml:space="preserve">0.833</w:t>
            </w:r>
          </w:p>
        </w:tc>
      </w:tr>
    </w:tbl>
    <w:p>
      <w:pPr>
        <w:spacing w:after="140"/>
        <w:jc w:val="both"/>
      </w:pPr>
      <w:r>
        <w:t xml:space="preserve">Coverage conditional on the (rare) violation class is lower than the marginal value for several criteria (e.g. posterization, pixelation, in-focus), a direct consequence of class imbalance under marginal conformal prediction; we return to this in the discussion.</w:t>
      </w:r>
    </w:p>
    <w:p>
      <w:pPr>
        <w:spacing w:after="140"/>
        <w:jc w:val="both"/>
      </w:pPr>
      <w:r>
        <w:t xml:space="preserve">Beyond the 90% operating point, the guarantee holds across confidence levels: sweeping the nominal target from 0.80 to 0.98 yields mean empirical coverage of 0.802, 0.852, 0.903, 0.954 and 0.982 respectively, tracking the nominal line almost exactly (Figure 3).</w:t>
      </w:r>
    </w:p>
    <w:p>
      <w:pPr>
        <w:spacing w:after="40" w:before="120"/>
        <w:jc w:val="center"/>
      </w:pPr>
      <w:r>
        <w:drawing>
          <wp:inline distT="0" distB="0" distL="0" distR="0">
            <wp:extent cx="3238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1f2933"/>
          <w:sz w:val="18"/>
          <w:szCs w:val="18"/>
        </w:rPr>
        <w:t xml:space="preserve">Figure 3. Mean empirical coverage vs. nominal target across confidence levels; shaded band is the per-criterion min-max.</w:t>
      </w:r>
    </w:p>
    <w:p>
      <w:pPr>
        <w:pStyle w:val="Heading2"/>
        <w:spacing w:after="90" w:before="180"/>
      </w:pPr>
      <w:r>
        <w:t xml:space="preserve">4.2 Reduction of unnecessary retakes</w:t>
      </w:r>
    </w:p>
    <w:p>
      <w:pPr>
        <w:spacing w:after="140"/>
        <w:jc w:val="both"/>
      </w:pPr>
      <w:r>
        <w:t xml:space="preserve">We compare the raw rule-based analyzer against the conformal layer in terms of unnecessary rejections — per-criterion false flags, i.e. cases where a criterion is reported as violated although the ground truth is compliant. On the test split BioGaze raises 1,748 such false flags; the conformal layer, which only rejects on a confident singleton {violation}, raises 414 — a reduction of 76.3% (Figure 4). Detection of true violations remains high: 823 of 850 true per-criterion violations are confidently flagged by BioGaze versus 694 by the conformal layer, with the difference routed to RETAKE rather than accepted. At the image level the framework yields 7 ACCEPT, 797 REJECT and 109 RETAKE decisions on the 913-image test split.</w:t>
      </w:r>
    </w:p>
    <w:p>
      <w:pPr>
        <w:spacing w:after="40" w:before="120"/>
        <w:jc w:val="center"/>
      </w:pPr>
      <w:r>
        <w:drawing>
          <wp:inline distT="0" distB="0" distL="0" distR="0">
            <wp:extent cx="4762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1f2933"/>
          <w:sz w:val="18"/>
          <w:szCs w:val="18"/>
        </w:rPr>
        <w:t xml:space="preserve">Figure 4. Per-criterion unnecessary rejections: rule-based analyzer vs. conformal layer (1,748 → 414, −76.3%).</w:t>
      </w:r>
    </w:p>
    <w:p>
      <w:pPr>
        <w:pStyle w:val="Heading2"/>
        <w:spacing w:after="90" w:before="180"/>
      </w:pPr>
      <w:r>
        <w:t xml:space="preserve">4.3 Explainability</w:t>
      </w:r>
    </w:p>
    <w:p>
      <w:pPr>
        <w:spacing w:after="140"/>
        <w:jc w:val="both"/>
      </w:pPr>
      <w:r>
        <w:t xml:space="preserve">Figure 5 shows region-level explanations for five representative violation types. Segmentation maps localise background, head-covering and eyewear evidence, while landmark geometry localises eye openness and expression. The explanations are faithful to the measurements that actually drive each decision.</w:t>
      </w:r>
    </w:p>
    <w:p>
      <w:r>
        <w:br w:type="page"/>
      </w:r>
    </w:p>
    <w:p>
      <w:pPr>
        <w:spacing w:after="40" w:before="120"/>
        <w:jc w:val="center"/>
      </w:pPr>
      <w:r>
        <w:drawing>
          <wp:inline distT="0" distB="0" distL="0" distR="0">
            <wp:extent cx="3238500" cy="652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1f2933"/>
          <w:sz w:val="18"/>
          <w:szCs w:val="18"/>
        </w:rPr>
        <w:t xml:space="preserve">Figure 5. Region-level explanations of ICAO compliance decisions for five TONO violation types.</w:t>
      </w:r>
    </w:p>
    <w:p>
      <w:pPr>
        <w:pStyle w:val="Heading1"/>
        <w:spacing w:after="120" w:before="260"/>
      </w:pPr>
      <w:r>
        <w:t xml:space="preserve">5. Discussion and Limitations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t xml:space="preserve">Marginal vs. conditional coverage. The 90% guarantee is marginal; conditional coverage on the minority violation class is lower for some criteria. Class-conditional (Mondrian) conformal prediction is a natural remedy and is planned as follow-up work.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t xml:space="preserve">Operational definition of a retake. The value of the RETAKE class depends on how retakes are handled operationally (human review vs. automatic recapture); the appropriate operating point is an application decision to be set with domain stakeholders.</w:t>
      </w:r>
    </w:p>
    <w:p>
      <w:pPr>
        <w:pStyle w:val="ListParagraph"/>
        <w:numPr>
          <w:ilvl w:val="0"/>
          <w:numId w:val="1"/>
        </w:numPr>
        <w:spacing w:after="50"/>
        <w:jc w:val="both"/>
      </w:pPr>
      <w:r>
        <w:t xml:space="preserve">Synthetic, single-violation data. TONO isolates each requirement but is synthetic and single-violation; BioGaze was also tuned on TONO. The conformal guarantee is distribution-free and therefore valid regardless, but external validity on real, multi-violation images remains to be shown.</w:t>
      </w:r>
    </w:p>
    <w:p>
      <w:pPr>
        <w:pStyle w:val="Heading1"/>
        <w:spacing w:after="120" w:before="260"/>
      </w:pPr>
      <w:r>
        <w:t xml:space="preserve">6. Conclusion and Future Work</w:t>
      </w:r>
    </w:p>
    <w:p>
      <w:pPr>
        <w:spacing w:after="140"/>
        <w:jc w:val="both"/>
      </w:pPr>
      <w:r>
        <w:t xml:space="preserve">We showed that split conformal prediction can wrap an existing rule-based ICAO compliance analyzer to provide per-criterion coverage guarantees (mean 0.9024 at a 0.90 target across 14 criteria) and to cut unnecessary per-criterion rejections by 76.3% within an ACCEPT/REJECT/RETAKE framework, complemented by faithful region-level explanations. Future work will (i) adopt class-conditional conformal prediction to strengthen violation-class coverage, and (ii) validate the approach on a real, multi-violation face-image dataset (e.g. DFIC) in a follow-up study.</w:t>
      </w:r>
    </w:p>
    <w:p>
      <w:pPr>
        <w:pStyle w:val="Heading1"/>
        <w:spacing w:after="120" w:before="260"/>
      </w:pPr>
      <w:r>
        <w:t xml:space="preserve">References</w:t>
      </w:r>
    </w:p>
    <w:p>
      <w:pPr>
        <w:spacing w:after="60"/>
      </w:pPr>
      <w:r>
        <w:rPr>
          <w:sz w:val="18"/>
          <w:szCs w:val="18"/>
        </w:rPr>
        <w:t xml:space="preserve">[1] International Civil Aviation Organization. Doc 9303 — Machine Readable Travel Documents, 8th edition. ICAO, 2021.</w:t>
      </w:r>
    </w:p>
    <w:p>
      <w:pPr>
        <w:spacing w:after="60"/>
      </w:pPr>
      <w:r>
        <w:rPr>
          <w:sz w:val="18"/>
          <w:szCs w:val="18"/>
        </w:rPr>
        <w:t xml:space="preserve">[2] ISO/IEC 39794-5:2019. Information technology — Extensible biometric data interchange formats — Part 5: Face image data. ISO, 2019.</w:t>
      </w:r>
    </w:p>
    <w:p>
      <w:pPr>
        <w:spacing w:after="60"/>
      </w:pPr>
      <w:r>
        <w:rPr>
          <w:sz w:val="18"/>
          <w:szCs w:val="18"/>
        </w:rPr>
        <w:t xml:space="preserve">[3] M. Ferrara, A. Franco, D. Maltoni. The magic passport: face image conformance to ISO/ICAO standards in machine-readable travel documents. IEEE Transactions on Information Forensics and Security, 2012.</w:t>
      </w:r>
    </w:p>
    <w:p>
      <w:pPr>
        <w:spacing w:after="60"/>
      </w:pPr>
      <w:r>
        <w:rPr>
          <w:sz w:val="18"/>
          <w:szCs w:val="18"/>
        </w:rPr>
        <w:t xml:space="preserve">[4] M. Ferrara, A. Franco, D. Maltoni, Y. Sun. BioLab-ICAO: a new benchmark to evaluate applications assessing face image compliance to the ISO/IEC 19794-5 standard. IEEE International Conference on Image Processing (ICIP), 2009.</w:t>
      </w:r>
    </w:p>
    <w:p>
      <w:pPr>
        <w:spacing w:after="60"/>
      </w:pPr>
      <w:r>
        <w:rPr>
          <w:sz w:val="18"/>
          <w:szCs w:val="18"/>
        </w:rPr>
        <w:t xml:space="preserve">[5] G. Borghi et al. BioGaze: a framework for evaluating the photographic requirements of the ISO/IEC 39794-5 standard. IEEE International Conference on Automatic Face and Gesture Recognition (FG), 2025.</w:t>
      </w:r>
    </w:p>
    <w:p>
      <w:pPr>
        <w:spacing w:after="60"/>
      </w:pPr>
      <w:r>
        <w:rPr>
          <w:sz w:val="18"/>
          <w:szCs w:val="18"/>
        </w:rPr>
        <w:t xml:space="preserve">[6] G. Borghi et al. TONO: a synthetic dataset for face image compliance to the ISO/ICAO standard. In European Conference on Computer Vision (ECCV) Workshops, LNCS, Springer, 2024. doi:10.1007/978-3-031-91907-7_1.</w:t>
      </w:r>
    </w:p>
    <w:p>
      <w:pPr>
        <w:spacing w:after="60"/>
      </w:pPr>
      <w:r>
        <w:rPr>
          <w:sz w:val="18"/>
          <w:szCs w:val="18"/>
        </w:rPr>
        <w:t xml:space="preserve">[7] T. Schlett, C. Rathgeb, O. Henniger, J. Fierrez, C. Busch. Face image quality assessment: a literature survey. ACM Computing Surveys, 54(10s):1-49, 2022. doi:10.1145/3507901.</w:t>
      </w:r>
    </w:p>
    <w:p>
      <w:pPr>
        <w:spacing w:after="60"/>
      </w:pPr>
      <w:r>
        <w:rPr>
          <w:sz w:val="18"/>
          <w:szCs w:val="18"/>
        </w:rPr>
        <w:t xml:space="preserve">[8] P. Terhörst, M. Ihlefeld, M. Huber, N. Damer, F. Kirchbuchner, K. Raja, A. Kuijper. Pixel-level face image quality assessment for explainable face recognition. IEEE Transactions on Biometrics, Behavior, and Identity Science, 2023 (arXiv:2110.11001).</w:t>
      </w:r>
    </w:p>
    <w:p>
      <w:pPr>
        <w:spacing w:after="60"/>
      </w:pPr>
      <w:r>
        <w:rPr>
          <w:sz w:val="18"/>
          <w:szCs w:val="18"/>
        </w:rPr>
        <w:t xml:space="preserve">[9] V. Vovk, A. Gammerman, G. Shafer. Algorithmic Learning in a Random World. Springer, 2005.</w:t>
      </w:r>
    </w:p>
    <w:p>
      <w:pPr>
        <w:spacing w:after="60"/>
      </w:pPr>
      <w:r>
        <w:rPr>
          <w:sz w:val="18"/>
          <w:szCs w:val="18"/>
        </w:rPr>
        <w:t xml:space="preserve">[10] A. N. Angelopoulos, S. Bates. A gentle introduction to conformal prediction and distribution-free uncertainty quantification. arXiv:2107.07511, 2021.</w:t>
      </w:r>
    </w:p>
    <w:p>
      <w:pPr>
        <w:spacing w:after="60"/>
      </w:pPr>
      <w:r>
        <w:rPr>
          <w:sz w:val="18"/>
          <w:szCs w:val="18"/>
        </w:rPr>
        <w:t xml:space="preserve">[11] V. Taquet, V. Blot, T. Morzadec, L. Lacombe, N. Brunel. MAPIE: an open-source library for distribution-free uncertainty quantification. arXiv:2207.12274, 2022.</w:t>
      </w:r>
    </w:p>
    <w:p>
      <w:pPr>
        <w:spacing w:after="140"/>
      </w:pPr>
      <w:r>
        <w:rPr>
          <w:i/>
          <w:iCs/>
          <w:color w:val="8a8f98"/>
        </w:rPr>
        <w:t xml:space="preserve">[Reference list to be finalised with exact venues, authors and years during submission preparation.]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81d7b7842f2561a241b8047b7abf893458971ad.png"/><Relationship Id="rId8" Type="http://schemas.openxmlformats.org/officeDocument/2006/relationships/image" Target="media/e8708eb4c7019ad707d57730711a3eb05ab86a53.png"/><Relationship Id="rId9" Type="http://schemas.openxmlformats.org/officeDocument/2006/relationships/image" Target="media/73e9f42fbabb0f561456a04430de6d2bd67369ea.png"/><Relationship Id="rId10" Type="http://schemas.openxmlformats.org/officeDocument/2006/relationships/image" Target="media/b50ea4fb8b719d6ee800ba72755141d85aa2fa83.png"/><Relationship Id="rId11" Type="http://schemas.openxmlformats.org/officeDocument/2006/relationships/image" Target="media/fd282d734df25a3b8c3001623661c25d6f19cb3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Conformal Prediction for Reliable ICAO Face-Image Compliance Verification</dc:title>
  <dc:creator>Mustafa Vedat Yıldırım</dc:creator>
  <cp:lastModifiedBy>Un-named</cp:lastModifiedBy>
  <cp:revision>1</cp:revision>
  <dcterms:created xsi:type="dcterms:W3CDTF">2026-08-05T08:43:36.005Z</dcterms:created>
  <dcterms:modified xsi:type="dcterms:W3CDTF">2026-08-05T08:43:36.006Z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