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b w:val="0"/>
        </w:rPr>
        <w:t>위클리옵션 가설 심화 검토</w:t>
      </w:r>
    </w:p>
    <w:p>
      <w:r>
        <w:rPr>
          <w:rFonts w:ascii="Malgun Gothic" w:hAnsi="Malgun Gothic" w:eastAsia="Malgun Gothic"/>
          <w:b w:val="0"/>
        </w:rPr>
        <w:t xml:space="preserve">검토 기준일: </w:t>
      </w:r>
      <w:r>
        <w:rPr>
          <w:rFonts w:ascii="Malgun Gothic" w:hAnsi="Malgun Gothic" w:eastAsia="Malgun Gothic"/>
          <w:b/>
        </w:rPr>
        <w:t>2026-10-11 KST</w:t>
      </w:r>
      <w:r>
        <w:rPr>
          <w:rFonts w:ascii="Malgun Gothic" w:hAnsi="Malgun Gothic" w:eastAsia="Malgun Gothic"/>
          <w:b w:val="0"/>
        </w:rPr>
        <w:t xml:space="preserve">. 가격 반전(REV) 검토에 이어 H1–H9 및 별도 운영 대안 H9b를 검토했다. </w:t>
      </w:r>
      <w:r>
        <w:rPr>
          <w:rFonts w:ascii="Malgun Gothic" w:hAnsi="Malgun Gothic" w:eastAsia="Malgun Gothic"/>
          <w:b/>
        </w:rPr>
        <w:t>지금 우선 추진할 과제는 자료 품질 검증과 HAR 기준모형을 세운 뒤 H5 만기 달력·H6 OI의 추가 예측력을 확인하는 일이다.</w:t>
      </w:r>
      <w:r>
        <w:rPr>
          <w:rFonts w:ascii="Malgun Gothic" w:hAnsi="Malgun Gothic" w:eastAsia="Malgun Gothic"/>
          <w:b w:val="0"/>
        </w:rPr>
        <w:t xml:space="preserve"> H3·H7·H8을 NH 투자자 집계로 접근하면 세 가지 원인 가설이 아니라 하나의 수급 예측 실험이 된다. H1 도입 효과·H4 국면별 인과효과는 실제 도입 사건과 대조군, H3·H7·H8의 원래 메커니즘은 외부 포지션·보유·사건 자료가 있어야 검증할 수 있다. H2는 국내 단독 기준이 확립된 뒤 해외 정보 추가와 실제 전이를 구분해 평가하고, H9는 RFQ 로그 확보 전 보류한다. 공개 호가 기반 H9b는 다음 5분 유동성 스트레스를 예측하는 별도 연구로 추진할 수 있다. </w:t>
      </w:r>
      <w:r>
        <w:rPr>
          <w:rFonts w:ascii="Malgun Gothic" w:hAnsi="Malgun Gothic" w:eastAsia="Malgun Gothic"/>
          <w:b/>
        </w:rPr>
        <w:t>이번 결과는 연구 설계와 저장자료 진단이며, 실제 시장의 효과 크기·유의확률·예측 성능을 추정한 결과가 아니다.</w:t>
      </w:r>
    </w:p>
    <w:p>
      <w:pPr>
        <w:pStyle w:val="Heading1"/>
      </w:pPr>
      <w:r>
        <w:rPr>
          <w:rFonts w:ascii="Malgun Gothic" w:hAnsi="Malgun Gothic" w:eastAsia="Malgun Gothic"/>
          <w:b w:val="0"/>
        </w:rPr>
        <w:t>1 가설은 유지하되 현재 자료가 답할 수 있는 질문을 분리한다</w:t>
      </w:r>
    </w:p>
    <w:p>
      <w:r>
        <w:rPr>
          <w:rFonts w:ascii="Malgun Gothic" w:hAnsi="Malgun Gothic" w:eastAsia="Malgun Gothic"/>
          <w:b w:val="0"/>
        </w:rPr>
        <w:t xml:space="preserve">세 전문 검토의 공통 결론은 경제적 설명이 그럴듯하다는 것과 관측자료로 그 설명을 식별할 수 있다는 것이 다르다는 점이다. 원본 합성 코드에는 검증할 관계를 데이터 생성식에 직접 넣은 사례가 있다. 그 관계를 다시 회귀하거나 분류해 얻은 성과는 파이프라인 시연이며 시장 증거가 아니다. 반대로 자료가 없다는 이유만으로 경제적 가설을 기각해서도 안 된다. 아래에서 </w:t>
      </w:r>
      <w:r>
        <w:rPr>
          <w:rFonts w:ascii="Malgun Gothic" w:hAnsi="Malgun Gothic" w:eastAsia="Malgun Gothic"/>
          <w:b/>
        </w:rPr>
        <w:t>원 주장</w:t>
      </w:r>
      <w:r>
        <w:rPr>
          <w:rFonts w:ascii="Malgun Gothic" w:hAnsi="Malgun Gothic" w:eastAsia="Malgun Gothic"/>
          <w:b w:val="0"/>
        </w:rPr>
        <w:t xml:space="preserve">, </w:t>
      </w:r>
      <w:r>
        <w:rPr>
          <w:rFonts w:ascii="Malgun Gothic" w:hAnsi="Malgun Gothic" w:eastAsia="Malgun Gothic"/>
          <w:b/>
        </w:rPr>
        <w:t>제안하는 운영상 재정의</w:t>
      </w:r>
      <w:r>
        <w:rPr>
          <w:rFonts w:ascii="Malgun Gothic" w:hAnsi="Malgun Gothic" w:eastAsia="Malgun Gothic"/>
          <w:b w:val="0"/>
        </w:rPr>
        <w:t xml:space="preserve">, </w:t>
      </w:r>
      <w:r>
        <w:rPr>
          <w:rFonts w:ascii="Malgun Gothic" w:hAnsi="Malgun Gothic" w:eastAsia="Malgun Gothic"/>
          <w:b/>
        </w:rPr>
        <w:t>실제 확인된 진단</w:t>
      </w:r>
      <w:r>
        <w:rPr>
          <w:rFonts w:ascii="Malgun Gothic" w:hAnsi="Malgun Gothic" w:eastAsia="Malgun Gothic"/>
          <w:b w:val="0"/>
        </w:rPr>
        <w:t xml:space="preserve">을 구분한다. 상세 근거와 원본 코드 검토는 </w:t>
      </w:r>
      <w:hyperlink r:id="rId10">
        <w:r>
          <w:rPr>
            <w:rFonts w:ascii="Malgun Gothic" w:hAnsi="Malgun Gothic" w:eastAsia="Malgun Gothic"/>
            <w:color w:val="185A8A"/>
            <w:u w:val="single"/>
          </w:rPr>
          <w:t>도입·전이·국면 노트</w:t>
        </w:r>
      </w:hyperlink>
      <w:r>
        <w:rPr>
          <w:rFonts w:ascii="Malgun Gothic" w:hAnsi="Malgun Gothic" w:eastAsia="Malgun Gothic"/>
          <w:b w:val="0"/>
        </w:rPr>
        <w:t xml:space="preserve">, </w:t>
      </w:r>
      <w:hyperlink r:id="rId11">
        <w:r>
          <w:rPr>
            <w:rFonts w:ascii="Malgun Gothic" w:hAnsi="Malgun Gothic" w:eastAsia="Malgun Gothic"/>
            <w:color w:val="185A8A"/>
            <w:u w:val="single"/>
          </w:rPr>
          <w:t>포지션·집중·리밸런싱 노트</w:t>
        </w:r>
      </w:hyperlink>
      <w:r>
        <w:rPr>
          <w:rFonts w:ascii="Malgun Gothic" w:hAnsi="Malgun Gothic" w:eastAsia="Malgun Gothic"/>
          <w:b w:val="0"/>
        </w:rPr>
        <w:t xml:space="preserve">, </w:t>
      </w:r>
      <w:hyperlink r:id="rId12">
        <w:r>
          <w:rPr>
            <w:rFonts w:ascii="Malgun Gothic" w:hAnsi="Malgun Gothic" w:eastAsia="Malgun Gothic"/>
            <w:color w:val="185A8A"/>
            <w:u w:val="single"/>
          </w:rPr>
          <w:t>만기·OI·호가 노트</w:t>
        </w:r>
      </w:hyperlink>
      <w:r>
        <w:rPr>
          <w:rFonts w:ascii="Malgun Gothic" w:hAnsi="Malgun Gothic" w:eastAsia="Malgun Gothic"/>
          <w:b w:val="0"/>
        </w:rPr>
        <w:t>에 보존돼 있다.</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304"/>
        <w:gridCol w:w="3384"/>
        <w:gridCol w:w="3816"/>
      </w:tblGrid>
      <w:tr>
        <w:trPr>
          <w:cantSplit/>
          <w:tblHeader/>
        </w:trPr>
        <w:tc>
          <w:tcPr>
            <w:tcW w:type="dxa" w:w="720"/>
            <w:vAlign w:val="center"/>
            <w:shd w:val="clear" w:fill="243B53"/>
            <w:tcMar>
              <w:top w:w="90" w:type="dxa"/>
              <w:bottom w:w="90" w:type="dxa"/>
              <w:left w:w="100" w:type="dxa"/>
              <w:right w:w="100" w:type="dxa"/>
            </w:tcMar>
          </w:tcPr>
          <w:p>
            <w:pPr>
              <w:spacing w:after="0" w:line="276" w:lineRule="auto"/>
              <w:jc w:val="center"/>
            </w:pPr>
            <w:r>
              <w:rPr>
                <w:rFonts w:ascii="Malgun Gothic" w:hAnsi="Malgun Gothic" w:eastAsia="Malgun Gothic"/>
                <w:b/>
                <w:color w:val="FFFFFF"/>
                <w:sz w:val="19"/>
              </w:rPr>
              <w:t>가설</w:t>
            </w:r>
          </w:p>
        </w:tc>
        <w:tc>
          <w:tcPr>
            <w:tcW w:type="dxa" w:w="2304"/>
            <w:vAlign w:val="center"/>
            <w:shd w:val="clear" w:fill="243B53"/>
            <w:tcMar>
              <w:top w:w="90" w:type="dxa"/>
              <w:bottom w:w="90" w:type="dxa"/>
              <w:left w:w="100" w:type="dxa"/>
              <w:right w:w="100" w:type="dxa"/>
            </w:tcMar>
          </w:tcPr>
          <w:p>
            <w:pPr>
              <w:spacing w:after="0" w:line="276" w:lineRule="auto"/>
              <w:jc w:val="left"/>
            </w:pPr>
            <w:r>
              <w:rPr>
                <w:rFonts w:ascii="Malgun Gothic" w:hAnsi="Malgun Gothic" w:eastAsia="Malgun Gothic"/>
                <w:b/>
                <w:color w:val="FFFFFF"/>
                <w:sz w:val="19"/>
              </w:rPr>
              <w:t>원 주장의 핵심</w:t>
            </w:r>
          </w:p>
        </w:tc>
        <w:tc>
          <w:tcPr>
            <w:tcW w:type="dxa" w:w="3384"/>
            <w:vAlign w:val="center"/>
            <w:shd w:val="clear" w:fill="243B53"/>
            <w:tcMar>
              <w:top w:w="90" w:type="dxa"/>
              <w:bottom w:w="90" w:type="dxa"/>
              <w:left w:w="100" w:type="dxa"/>
              <w:right w:w="100" w:type="dxa"/>
            </w:tcMar>
          </w:tcPr>
          <w:p>
            <w:pPr>
              <w:spacing w:after="0" w:line="276" w:lineRule="auto"/>
              <w:jc w:val="left"/>
            </w:pPr>
            <w:r>
              <w:rPr>
                <w:rFonts w:ascii="Malgun Gothic" w:hAnsi="Malgun Gothic" w:eastAsia="Malgun Gothic"/>
                <w:b/>
                <w:color w:val="FFFFFF"/>
                <w:sz w:val="19"/>
              </w:rPr>
              <w:t>검증할 추정 대상·비교</w:t>
            </w:r>
          </w:p>
        </w:tc>
        <w:tc>
          <w:tcPr>
            <w:tcW w:type="dxa" w:w="3816"/>
            <w:vAlign w:val="center"/>
            <w:shd w:val="clear" w:fill="243B53"/>
            <w:tcMar>
              <w:top w:w="90" w:type="dxa"/>
              <w:bottom w:w="90" w:type="dxa"/>
              <w:left w:w="100" w:type="dxa"/>
              <w:right w:w="100" w:type="dxa"/>
            </w:tcMar>
          </w:tcPr>
          <w:p>
            <w:pPr>
              <w:spacing w:after="0" w:line="276" w:lineRule="auto"/>
              <w:jc w:val="left"/>
            </w:pPr>
            <w:r>
              <w:rPr>
                <w:rFonts w:ascii="Malgun Gothic" w:hAnsi="Malgun Gothic" w:eastAsia="Malgun Gothic"/>
                <w:b/>
                <w:color w:val="FFFFFF"/>
                <w:sz w:val="19"/>
              </w:rPr>
              <w:t>현재 판단과 착수 조건</w:t>
            </w:r>
          </w:p>
        </w:tc>
      </w:tr>
      <w:tr>
        <w:trPr>
          <w:cantSplit/>
        </w:trPr>
        <w:tc>
          <w:tcPr>
            <w:tcW w:type="dxa" w:w="720"/>
            <w:vAlign w:val="center"/>
            <w:shd w:val="clear" w:fill="FFFFFF"/>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H1</w:t>
            </w:r>
          </w:p>
        </w:tc>
        <w:tc>
          <w:tcPr>
            <w:tcW w:type="dxa" w:w="230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개별주식 위클리 도입이 현물 변동성을 높인다</w:t>
            </w:r>
          </w:p>
        </w:tc>
        <w:tc>
          <w:tcPr>
            <w:tcW w:type="dxa" w:w="338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실제 도입 종목의 log RV ATT, 같은 시장의 미도입 종목 대비</w:t>
            </w:r>
          </w:p>
        </w:tc>
        <w:tc>
          <w:tcPr>
            <w:tcW w:type="dxa" w:w="3816"/>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원 가설 유지·실측 보류. 발표·개시일, 현물 역사자료와 대조군 필요</w:t>
            </w:r>
          </w:p>
        </w:tc>
      </w:tr>
      <w:tr>
        <w:trPr>
          <w:cantSplit/>
        </w:trPr>
        <w:tc>
          <w:tcPr>
            <w:tcW w:type="dxa" w:w="720"/>
            <w:vAlign w:val="center"/>
            <w:shd w:val="clear" w:fill="F2F5F8"/>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H2</w:t>
            </w:r>
          </w:p>
        </w:tc>
        <w:tc>
          <w:tcPr>
            <w:tcW w:type="dxa" w:w="230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아시아 옵션 관계가 국내 위클리에 이전된다</w:t>
            </w:r>
          </w:p>
        </w:tc>
        <w:tc>
          <w:tcPr>
            <w:tcW w:type="dxa" w:w="338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같은 국내 테스트 날짜의 국내 단독 대비 손실 감소</w:t>
            </w:r>
          </w:p>
        </w:tc>
        <w:tc>
          <w:tcPr>
            <w:tcW w:type="dxa" w:w="3816"/>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국내 기준 확립 후. 해외 변수 추가와 해외 표본·파라미터 전이를 분리</w:t>
            </w:r>
          </w:p>
        </w:tc>
      </w:tr>
      <w:tr>
        <w:trPr>
          <w:cantSplit/>
        </w:trPr>
        <w:tc>
          <w:tcPr>
            <w:tcW w:type="dxa" w:w="720"/>
            <w:vAlign w:val="center"/>
            <w:shd w:val="clear" w:fill="FFFFFF"/>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H3</w:t>
            </w:r>
          </w:p>
        </w:tc>
        <w:tc>
          <w:tcPr>
            <w:tcW w:type="dxa" w:w="230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커버드콜 등 매도 공급이 변동성을 완화한다</w:t>
            </w:r>
          </w:p>
        </w:tc>
        <w:tc>
          <w:tcPr>
            <w:tcW w:type="dxa" w:w="338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signed 공급 증가에 따른 IV 변화와 이후 RV 변화를 각각 추정</w:t>
            </w:r>
          </w:p>
        </w:tc>
        <w:tc>
          <w:tcPr>
            <w:tcW w:type="dxa" w:w="3816"/>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외부 펀드 포지션 필요. NH 대안은 공동 FLOW-PRED에 편입</w:t>
            </w:r>
          </w:p>
        </w:tc>
      </w:tr>
      <w:tr>
        <w:trPr>
          <w:cantSplit/>
        </w:trPr>
        <w:tc>
          <w:tcPr>
            <w:tcW w:type="dxa" w:w="720"/>
            <w:vAlign w:val="center"/>
            <w:shd w:val="clear" w:fill="F2F5F8"/>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H4</w:t>
            </w:r>
          </w:p>
        </w:tc>
        <w:tc>
          <w:tcPr>
            <w:tcW w:type="dxa" w:w="230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공포·탐욕에 따라 도입 효과 방향이 바뀐다</w:t>
            </w:r>
          </w:p>
        </w:tc>
        <w:tc>
          <w:tcPr>
            <w:tcW w:type="dxa" w:w="338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사전 국면별 ATT와 부호 반전; 대안은 국면별 예측 개선</w:t>
            </w:r>
          </w:p>
        </w:tc>
        <w:tc>
          <w:tcPr>
            <w:tcW w:type="dxa" w:w="3816"/>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인과 검정에는 여러 도입 국면 필요. 예측 국면은 훈련자료에서만 정의</w:t>
            </w:r>
          </w:p>
        </w:tc>
      </w:tr>
      <w:tr>
        <w:trPr>
          <w:cantSplit/>
        </w:trPr>
        <w:tc>
          <w:tcPr>
            <w:tcW w:type="dxa" w:w="720"/>
            <w:vAlign w:val="center"/>
            <w:shd w:val="clear" w:fill="FFFFFF"/>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H5</w:t>
            </w:r>
          </w:p>
        </w:tc>
        <w:tc>
          <w:tcPr>
            <w:tcW w:type="dxa" w:w="230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만기 전후 변동성이 높다</w:t>
            </w:r>
          </w:p>
        </w:tc>
        <w:tc>
          <w:tcPr>
            <w:tcW w:type="dxa" w:w="338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실제 만기 대 같은 요일 대조, HAR 위의 달력 정보 가치</w:t>
            </w:r>
          </w:p>
        </w:tc>
        <w:tc>
          <w:tcPr>
            <w:tcW w:type="dxa" w:w="3816"/>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수집 후 우선. 목요일 더미를 실제 만기로 대체하고 rank 검사</w:t>
            </w:r>
          </w:p>
        </w:tc>
      </w:tr>
      <w:tr>
        <w:trPr>
          <w:cantSplit/>
        </w:trPr>
        <w:tc>
          <w:tcPr>
            <w:tcW w:type="dxa" w:w="720"/>
            <w:vAlign w:val="center"/>
            <w:shd w:val="clear" w:fill="F2F5F8"/>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H6</w:t>
            </w:r>
          </w:p>
        </w:tc>
        <w:tc>
          <w:tcPr>
            <w:tcW w:type="dxa" w:w="230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OI 변화가 다음 주 변동성을 예측한다</w:t>
            </w:r>
          </w:p>
        </w:tc>
        <w:tc>
          <w:tcPr>
            <w:tcW w:type="dxa" w:w="338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HAR 대비 부호 있는 변화·절대변화의 테스트 손실 감소</w:t>
            </w:r>
          </w:p>
        </w:tc>
        <w:tc>
          <w:tcPr>
            <w:tcW w:type="dxa" w:w="3816"/>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수집 후 우선. 전기분모·롤·공표지연·5일 라벨을 고정</w:t>
            </w:r>
          </w:p>
        </w:tc>
      </w:tr>
      <w:tr>
        <w:trPr>
          <w:cantSplit/>
        </w:trPr>
        <w:tc>
          <w:tcPr>
            <w:tcW w:type="dxa" w:w="720"/>
            <w:vAlign w:val="center"/>
            <w:shd w:val="clear" w:fill="FFFFFF"/>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H7</w:t>
            </w:r>
          </w:p>
        </w:tc>
        <w:tc>
          <w:tcPr>
            <w:tcW w:type="dxa" w:w="230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투자자 집중이 옵션 활동에 대한 변동성 민감도를 높인다</w:t>
            </w:r>
          </w:p>
        </w:tc>
        <w:tc>
          <w:tcPr>
            <w:tcW w:type="dxa" w:w="338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활동×사전 보유집중 상호작용; NH 대안은 거래군/OI 집중의 예측 가치</w:t>
            </w:r>
          </w:p>
        </w:tc>
        <w:tc>
          <w:tcPr>
            <w:tcW w:type="dxa" w:w="3816"/>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원 가설은 보유자료 필요. 집계군 거래 집중을 소유집중으로 대체하지 않음</w:t>
            </w:r>
          </w:p>
        </w:tc>
      </w:tr>
      <w:tr>
        <w:trPr>
          <w:cantSplit/>
        </w:trPr>
        <w:tc>
          <w:tcPr>
            <w:tcW w:type="dxa" w:w="720"/>
            <w:vAlign w:val="center"/>
            <w:shd w:val="clear" w:fill="F2F5F8"/>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H8</w:t>
            </w:r>
          </w:p>
        </w:tc>
        <w:tc>
          <w:tcPr>
            <w:tcW w:type="dxa" w:w="230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기관 리밸런싱이 위클리 변동성을 높인다</w:t>
            </w:r>
          </w:p>
        </w:tc>
        <w:tc>
          <w:tcPr>
            <w:tcW w:type="dxa" w:w="338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사전 확정된 노출변경 사건의 RV·IV·유동성 변화</w:t>
            </w:r>
          </w:p>
        </w:tc>
        <w:tc>
          <w:tcPr>
            <w:tcW w:type="dxa" w:w="3816"/>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사건 원장 필요. 기관 순매수만 있으면 FLOW-PRED 범위</w:t>
            </w:r>
          </w:p>
        </w:tc>
      </w:tr>
      <w:tr>
        <w:trPr>
          <w:cantSplit/>
        </w:trPr>
        <w:tc>
          <w:tcPr>
            <w:tcW w:type="dxa" w:w="720"/>
            <w:vAlign w:val="center"/>
            <w:shd w:val="clear" w:fill="FFFFFF"/>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H9</w:t>
            </w:r>
          </w:p>
        </w:tc>
        <w:tc>
          <w:tcPr>
            <w:tcW w:type="dxa" w:w="230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RFQ로 롱·숏 포지션을 추정한다</w:t>
            </w:r>
          </w:p>
        </w:tc>
        <w:tc>
          <w:tcPr>
            <w:tcW w:type="dxa" w:w="338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관측된 RFQ 방향·체결·포지션 정답에 대한 공개호가 대비 추가 정보</w:t>
            </w:r>
          </w:p>
        </w:tc>
        <w:tc>
          <w:tcPr>
            <w:tcW w:type="dxa" w:w="3816"/>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RFQ 원시 로그·정답 미확보로 보류</w:t>
            </w:r>
          </w:p>
        </w:tc>
      </w:tr>
      <w:tr>
        <w:trPr>
          <w:cantSplit/>
        </w:trPr>
        <w:tc>
          <w:tcPr>
            <w:tcW w:type="dxa" w:w="720"/>
            <w:vAlign w:val="center"/>
            <w:shd w:val="clear" w:fill="F2F5F8"/>
            <w:tcMar>
              <w:top w:w="90" w:type="dxa"/>
              <w:bottom w:w="90" w:type="dxa"/>
              <w:left w:w="100" w:type="dxa"/>
              <w:right w:w="100" w:type="dxa"/>
            </w:tcMar>
          </w:tcPr>
          <w:p>
            <w:pPr>
              <w:spacing w:after="0" w:line="276" w:lineRule="auto"/>
              <w:jc w:val="center"/>
            </w:pPr>
            <w:r>
              <w:rPr>
                <w:rFonts w:ascii="Malgun Gothic" w:hAnsi="Malgun Gothic" w:eastAsia="Malgun Gothic"/>
                <w:b w:val="0"/>
                <w:sz w:val="19"/>
              </w:rPr>
              <w:t>H9b</w:t>
            </w:r>
          </w:p>
        </w:tc>
        <w:tc>
          <w:tcPr>
            <w:tcW w:type="dxa" w:w="230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공개 호가로 단기 유동성 악화를 경보한다</w:t>
            </w:r>
          </w:p>
        </w:tc>
        <w:tc>
          <w:tcPr>
            <w:tcW w:type="dxa" w:w="338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다음 5분 스트레스 확률, 직전상태·시간대 빈도 기준 대비</w:t>
            </w:r>
          </w:p>
        </w:tc>
        <w:tc>
          <w:tcPr>
            <w:tcW w:type="dxa" w:w="3816"/>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별도 가설로 채택. 호가·잔량 수집 및 결측 검열부터 필요</w:t>
            </w:r>
          </w:p>
        </w:tc>
      </w:tr>
    </w:tbl>
    <w:p>
      <w:pPr>
        <w:spacing w:after="0"/>
      </w:pPr>
    </w:p>
    <w:p>
      <w:r>
        <w:rPr>
          <w:rFonts w:ascii="Malgun Gothic" w:hAnsi="Malgun Gothic" w:eastAsia="Malgun Gothic"/>
          <w:b w:val="0"/>
        </w:rPr>
        <w:t xml:space="preserve">현재 자료의 규모는 먼저 축약해 읽어야 한다. 저장 마스터의 </w:t>
      </w:r>
      <w:r>
        <w:rPr>
          <w:rFonts w:ascii="Malgun Gothic" w:hAnsi="Malgun Gothic" w:eastAsia="Malgun Gothic"/>
          <w:b/>
        </w:rPr>
        <w:t>766개 고유 계약·1,258개 계약 세션 행은 기초자산×만기일 기준 6개 후보 사건, 서로 다른 3개 날짜</w:t>
      </w:r>
      <w:r>
        <w:rPr>
          <w:rFonts w:ascii="Malgun Gothic" w:hAnsi="Malgun Gothic" w:eastAsia="Malgun Gothic"/>
          <w:b w:val="0"/>
        </w:rPr>
        <w:t>로 줄어든다. 날짜는 2026-10-12·15·19로 기준일 이후이며 완료 만기 사건과 비만기 대조 관측은 모두 0이다. 가격·bid/ask·OI·전일 OI·일별 RV·미래 RV에도 유효 관측이 없다. 이는 계약 범위와 향후 수집 대상을 보여주는 마스터이지 가설 검정용 시장 패널이 아니다. 같은 지수 RV를 수백 행사가에 복사해도 독립 현물 사건 수는 늘지 않는다. (</w:t>
      </w:r>
      <w:hyperlink r:id="rId13">
        <w:r>
          <w:rPr>
            <w:rFonts w:ascii="Malgun Gothic" w:hAnsi="Malgun Gothic" w:eastAsia="Malgun Gothic"/>
            <w:color w:val="185A8A"/>
            <w:u w:val="single"/>
          </w:rPr>
          <w:t>실제 저장자료 진단</w:t>
        </w:r>
      </w:hyperlink>
      <w:r>
        <w:rPr>
          <w:rFonts w:ascii="Malgun Gothic" w:hAnsi="Malgun Gothic" w:eastAsia="Malgun Gothic"/>
          <w:b w:val="0"/>
        </w:rPr>
        <w:t>)</w:t>
      </w:r>
    </w:p>
    <w:p>
      <w:r>
        <w:rPr>
          <w:rFonts w:ascii="Malgun Gothic" w:hAnsi="Malgun Gothic" w:eastAsia="Malgun Gothic"/>
          <w:b w:val="0"/>
        </w:rPr>
        <w:t xml:space="preserve">설계행렬에서도 제한이 확인됐다. 6개 후보 사건의 </w:t>
      </w:r>
      <w:r>
        <w:rPr>
          <w:rFonts w:ascii="Malgun Gothic" w:hAnsi="Malgun Gothic" w:eastAsia="Malgun Gothic"/>
          <w:b w:val="0"/>
        </w:rPr>
        <w:t>[intercept, expiry_event]</w:t>
      </w:r>
      <w:r>
        <w:rPr>
          <w:rFonts w:ascii="Malgun Gothic" w:hAnsi="Malgun Gothic" w:eastAsia="Malgun Gothic"/>
          <w:b w:val="0"/>
        </w:rPr>
        <w:t xml:space="preserve">는 두 열이 모두 1이어서 </w:t>
      </w:r>
      <w:r>
        <w:rPr>
          <w:rFonts w:ascii="Malgun Gothic" w:hAnsi="Malgun Gothic" w:eastAsia="Malgun Gothic"/>
          <w:b/>
        </w:rPr>
        <w:t>rank 1/2</w:t>
      </w:r>
      <w:r>
        <w:rPr>
          <w:rFonts w:ascii="Malgun Gothic" w:hAnsi="Malgun Gothic" w:eastAsia="Malgun Gothic"/>
          <w:b w:val="0"/>
        </w:rPr>
        <w:t xml:space="preserve">다. 별도의 6개 상품×만기일 셀에서 </w:t>
      </w:r>
      <w:r>
        <w:rPr>
          <w:rFonts w:ascii="Malgun Gothic" w:hAnsi="Malgun Gothic" w:eastAsia="Malgun Gothic"/>
          <w:b w:val="0"/>
        </w:rPr>
        <w:t>[intercept, monday, WKM, WQI, WQM]</w:t>
      </w:r>
      <w:r>
        <w:rPr>
          <w:rFonts w:ascii="Malgun Gothic" w:hAnsi="Malgun Gothic" w:eastAsia="Malgun Gothic"/>
          <w:b w:val="0"/>
        </w:rPr>
        <w:t xml:space="preserve">는 </w:t>
      </w:r>
      <w:r>
        <w:rPr>
          <w:rFonts w:ascii="Malgun Gothic" w:hAnsi="Malgun Gothic" w:eastAsia="Malgun Gothic"/>
          <w:b/>
        </w:rPr>
        <w:t>rank 4/5</w:t>
      </w:r>
      <w:r>
        <w:rPr>
          <w:rFonts w:ascii="Malgun Gothic" w:hAnsi="Malgun Gothic" w:eastAsia="Malgun Gothic"/>
          <w:b w:val="0"/>
        </w:rPr>
        <w:t xml:space="preserve">, 정확한 관계는 </w:t>
      </w:r>
      <w:r>
        <w:rPr>
          <w:rFonts w:ascii="Malgun Gothic" w:hAnsi="Malgun Gothic" w:eastAsia="Malgun Gothic"/>
          <w:b w:val="0"/>
        </w:rPr>
        <w:t>monday = WKM + WQM</w:t>
      </w:r>
      <w:r>
        <w:rPr>
          <w:rFonts w:ascii="Malgun Gothic" w:hAnsi="Malgun Gothic" w:eastAsia="Malgun Gothic"/>
          <w:b w:val="0"/>
        </w:rPr>
        <w:t xml:space="preserve">이다. 현재 행 구성으로는 상수와 만기, 월요일과 해당 상품군 효과를 분리할 수 없다. 이는 수익률을 넣지 않고 수행한 </w:t>
      </w:r>
      <w:r>
        <w:rPr>
          <w:rFonts w:ascii="Malgun Gothic" w:hAnsi="Malgun Gothic" w:eastAsia="Malgun Gothic"/>
          <w:b/>
        </w:rPr>
        <w:t>해당 스냅샷의 식별 진단</w:t>
      </w:r>
      <w:r>
        <w:rPr>
          <w:rFonts w:ascii="Malgun Gothic" w:hAnsi="Malgun Gothic" w:eastAsia="Malgun Gothic"/>
          <w:b w:val="0"/>
        </w:rPr>
        <w:t>이다. 적절한 역사 기간·대조군·제도 변이를 추가해도 영구히 불가능하다는 결론은 아니다. (</w:t>
      </w:r>
      <w:hyperlink r:id="rId13">
        <w:r>
          <w:rPr>
            <w:rFonts w:ascii="Malgun Gothic" w:hAnsi="Malgun Gothic" w:eastAsia="Malgun Gothic"/>
            <w:color w:val="185A8A"/>
            <w:u w:val="single"/>
          </w:rPr>
          <w:t>진단 JSON</w:t>
        </w:r>
      </w:hyperlink>
      <w:r>
        <w:rPr>
          <w:rFonts w:ascii="Malgun Gothic" w:hAnsi="Malgun Gothic" w:eastAsia="Malgun Gothic"/>
          <w:b w:val="0"/>
        </w:rPr>
        <w:t xml:space="preserve">, </w:t>
      </w:r>
      <w:hyperlink r:id="rId14">
        <w:r>
          <w:rPr>
            <w:rFonts w:ascii="Malgun Gothic" w:hAnsi="Malgun Gothic" w:eastAsia="Malgun Gothic"/>
            <w:color w:val="185A8A"/>
            <w:u w:val="single"/>
          </w:rPr>
          <w:t>설계행렬 CSV</w:t>
        </w:r>
      </w:hyperlink>
      <w:r>
        <w:rPr>
          <w:rFonts w:ascii="Malgun Gothic" w:hAnsi="Malgun Gothic" w:eastAsia="Malgun Gothic"/>
          <w:b w:val="0"/>
        </w:rPr>
        <w:t>)</w:t>
      </w:r>
    </w:p>
    <w:p>
      <w:pPr>
        <w:pStyle w:val="Heading1"/>
      </w:pPr>
      <w:r>
        <w:rPr>
          <w:rFonts w:ascii="Malgun Gothic" w:hAnsi="Malgun Gothic" w:eastAsia="Malgun Gothic"/>
          <w:b w:val="0"/>
        </w:rPr>
        <w:t>2 도입 전이 국면은 서로 다른 비교 대상을 요구한다</w:t>
      </w:r>
    </w:p>
    <w:p>
      <w:pPr>
        <w:pStyle w:val="Heading2"/>
      </w:pPr>
      <w:r>
        <w:rPr>
          <w:rFonts w:ascii="Malgun Gothic" w:hAnsi="Malgun Gothic" w:eastAsia="Malgun Gothic"/>
          <w:b w:val="0"/>
        </w:rPr>
        <w:t>H1 발표의 기대 효과와 거래 개시의 추가 효과를 나눈다</w:t>
      </w:r>
    </w:p>
    <w:p>
      <w:r>
        <w:rPr>
          <w:rFonts w:ascii="Malgun Gothic" w:hAnsi="Malgun Gothic" w:eastAsia="Malgun Gothic"/>
          <w:b w:val="0"/>
        </w:rPr>
        <w:t xml:space="preserve">H1의 권장 출발점은 실제 도입을 공식적으로 확인할 수 있는 해외 사건이다. HKEX는 2024-05-08 도입 계획을 발표했고, 2024-07-23 회람에 11월 4일 개시와 초기 10종목을 제시했다. 이후 연간실적에서 </w:t>
      </w:r>
      <w:r>
        <w:rPr>
          <w:rFonts w:ascii="Malgun Gothic" w:hAnsi="Malgun Gothic" w:eastAsia="Malgun Gothic"/>
          <w:b/>
        </w:rPr>
        <w:t>2024-11-04의 10종목 실제 도입</w:t>
      </w:r>
      <w:r>
        <w:rPr>
          <w:rFonts w:ascii="Malgun Gothic" w:hAnsi="Malgun Gothic" w:eastAsia="Malgun Gothic"/>
          <w:b w:val="0"/>
        </w:rPr>
        <w:t>을 확인했다. 발표와 개시 사이에 수개월이 있으므로 개시 직전 구간을 무조건 미처리 기간으로 둘 수 없다. 한국의 2026년 개별주식 위클리 도입·연기·재개 상태는 이번 검토에서 날짜 있는 공식 원문을 확보하지 못했으므로 확정하지 않는다. 마스터에서 후보가 없다는 사실도 국내 미상장의 증거가 아니다. (</w:t>
      </w:r>
      <w:hyperlink r:id="rId15">
        <w:r>
          <w:rPr>
            <w:rFonts w:ascii="Malgun Gothic" w:hAnsi="Malgun Gothic" w:eastAsia="Malgun Gothic"/>
            <w:color w:val="185A8A"/>
            <w:u w:val="single"/>
          </w:rPr>
          <w:t>HKEX 최초 발표</w:t>
        </w:r>
      </w:hyperlink>
      <w:r>
        <w:rPr>
          <w:rFonts w:ascii="Malgun Gothic" w:hAnsi="Malgun Gothic" w:eastAsia="Malgun Gothic"/>
          <w:b w:val="0"/>
        </w:rPr>
        <w:t xml:space="preserve">, </w:t>
      </w:r>
      <w:hyperlink r:id="rId16">
        <w:r>
          <w:rPr>
            <w:rFonts w:ascii="Malgun Gothic" w:hAnsi="Malgun Gothic" w:eastAsia="Malgun Gothic"/>
            <w:color w:val="185A8A"/>
            <w:u w:val="single"/>
          </w:rPr>
          <w:t>도입 회람</w:t>
        </w:r>
      </w:hyperlink>
      <w:r>
        <w:rPr>
          <w:rFonts w:ascii="Malgun Gothic" w:hAnsi="Malgun Gothic" w:eastAsia="Malgun Gothic"/>
          <w:b w:val="0"/>
        </w:rPr>
        <w:t xml:space="preserve">, </w:t>
      </w:r>
      <w:hyperlink r:id="rId17">
        <w:r>
          <w:rPr>
            <w:rFonts w:ascii="Malgun Gothic" w:hAnsi="Malgun Gothic" w:eastAsia="Malgun Gothic"/>
            <w:color w:val="185A8A"/>
            <w:u w:val="single"/>
          </w:rPr>
          <w:t>실제 도입 확인</w:t>
        </w:r>
      </w:hyperlink>
      <w:r>
        <w:rPr>
          <w:rFonts w:ascii="Malgun Gothic" w:hAnsi="Malgun Gothic" w:eastAsia="Malgun Gothic"/>
          <w:b w:val="0"/>
        </w:rPr>
        <w:t>)</w:t>
      </w:r>
    </w:p>
    <w:p>
      <w:r>
        <w:rPr>
          <w:rFonts w:ascii="Malgun Gothic" w:hAnsi="Malgun Gothic" w:eastAsia="Malgun Gothic"/>
          <w:b w:val="0"/>
        </w:rPr>
        <w:t xml:space="preserve">제안하는 관측 단위는 </w:t>
      </w:r>
      <w:r>
        <w:rPr>
          <w:rFonts w:ascii="Malgun Gothic" w:hAnsi="Malgun Gothic" w:eastAsia="Malgun Gothic"/>
          <w:b w:val="0"/>
        </w:rPr>
        <w:t>stock_id × trading_date</w:t>
      </w:r>
      <w:r>
        <w:rPr>
          <w:rFonts w:ascii="Malgun Gothic" w:hAnsi="Malgun Gothic" w:eastAsia="Malgun Gothic"/>
          <w:b w:val="0"/>
        </w:rPr>
        <w:t xml:space="preserve">, 주 결과는 같은 정규 세션의 5분 로그수익률 제곱합 </w:t>
      </w:r>
      <w:r>
        <w:rPr>
          <w:rFonts w:ascii="Malgun Gothic" w:hAnsi="Malgun Gothic" w:eastAsia="Malgun Gothic"/>
          <w:b w:val="0"/>
        </w:rPr>
        <w:t>RV_it=Σr²</w:t>
      </w:r>
      <w:r>
        <w:rPr>
          <w:rFonts w:ascii="Malgun Gothic" w:hAnsi="Malgun Gothic" w:eastAsia="Malgun Gothic"/>
          <w:b w:val="0"/>
        </w:rPr>
        <w:t xml:space="preserve">, 분석값은 </w:t>
      </w:r>
      <w:r>
        <w:rPr>
          <w:rFonts w:ascii="Malgun Gothic" w:hAnsi="Malgun Gothic" w:eastAsia="Malgun Gothic"/>
          <w:b w:val="0"/>
        </w:rPr>
        <w:t>log(RV_it)</w:t>
      </w:r>
      <w:r>
        <w:rPr>
          <w:rFonts w:ascii="Malgun Gothic" w:hAnsi="Malgun Gothic" w:eastAsia="Malgun Gothic"/>
          <w:b w:val="0"/>
        </w:rPr>
        <w:t xml:space="preserve">이다. 수정주가·기업행사·거래중단·커버리지 규칙을 먼저 정하고 overnight와 시초가 점프는 별도 결과로 둔다. 분봉이 없어서 일별 고가·저가 추정량을 쓰면 장중 RV와 다른 결과명으로 남긴다. 목표는 </w:t>
      </w:r>
      <w:r>
        <w:rPr>
          <w:rFonts w:ascii="Malgun Gothic" w:hAnsi="Malgun Gothic" w:eastAsia="Malgun Gothic"/>
          <w:b w:val="0"/>
        </w:rPr>
        <w:t>ATT(g,t)=E[Y(1)-Y(0)|G=g]</w:t>
      </w:r>
      <w:r>
        <w:rPr>
          <w:rFonts w:ascii="Malgun Gothic" w:hAnsi="Malgun Gothic" w:eastAsia="Malgun Gothic"/>
          <w:b w:val="0"/>
        </w:rPr>
        <w:t>로, 도입 집단의 실제 위험과 도입하지 않았을 경우의 위험 차이다. 공지 이전을 기준으로 한 정책 전체 효과와 이미 공지된 상태에서 거래가 시작된 추가 효과를 각각 추정한다. 도입 후 0–20·21–60 거래일 같은 창은 후보일 뿐이며 자료 범위와 검정력을 확인한 다음 결과를 보기 전에 확정한다.</w:t>
      </w:r>
    </w:p>
    <w:p>
      <w:r>
        <w:rPr>
          <w:rFonts w:ascii="Malgun Gothic" w:hAnsi="Malgun Gothic" w:eastAsia="Malgun Gothic"/>
          <w:b w:val="0"/>
        </w:rPr>
        <w:t>대조군은 같은 거래소에서 월물 옵션이 이미 있으나 분석 창 동안 위클리가 없는 종목을 우선 검토한다. 사전 업종·규모·유동성·RV 추세·월물 옵션 거래밀도의 공통 지지를 확인하고 이미 처리된 종목을 미처리 대조로 재사용하지 않는다. 여러 도입 시점이 섞이면 집단·시점별 ATT 또는 코호트 상호작용을 쓰며 단순 TWFE 사건계수만으로 해석하지 않는다. 처리 후 옵션 거래량·OI·스프레드는 도입의 경로일 수 있으므로 주 회귀에서 무조건 통제하지 않는다. 세금·가격제한이 시장 내내 고정이면 고정효과와 겹치고, 동시 제도변경의 독립 변이가 없으면 도입만의 효과라고 분리할 수 없다. (</w:t>
      </w:r>
      <w:hyperlink r:id="rId18">
        <w:r>
          <w:rPr>
            <w:rFonts w:ascii="Malgun Gothic" w:hAnsi="Malgun Gothic" w:eastAsia="Malgun Gothic"/>
            <w:color w:val="185A8A"/>
            <w:u w:val="single"/>
          </w:rPr>
          <w:t>Callaway·Sant’Anna</w:t>
        </w:r>
      </w:hyperlink>
      <w:r>
        <w:rPr>
          <w:rFonts w:ascii="Malgun Gothic" w:hAnsi="Malgun Gothic" w:eastAsia="Malgun Gothic"/>
          <w:b w:val="0"/>
        </w:rPr>
        <w:t xml:space="preserve">, </w:t>
      </w:r>
      <w:hyperlink r:id="rId19">
        <w:r>
          <w:rPr>
            <w:rFonts w:ascii="Malgun Gothic" w:hAnsi="Malgun Gothic" w:eastAsia="Malgun Gothic"/>
            <w:color w:val="185A8A"/>
            <w:u w:val="single"/>
          </w:rPr>
          <w:t>Sun·Abraham</w:t>
        </w:r>
      </w:hyperlink>
      <w:r>
        <w:rPr>
          <w:rFonts w:ascii="Malgun Gothic" w:hAnsi="Malgun Gothic" w:eastAsia="Malgun Gothic"/>
          <w:b w:val="0"/>
        </w:rPr>
        <w:t>)</w:t>
      </w:r>
    </w:p>
    <w:p>
      <w:r>
        <w:rPr>
          <w:rFonts w:ascii="Malgun Gothic" w:hAnsi="Malgun Gothic" w:eastAsia="Malgun Gothic"/>
          <w:b w:val="0"/>
        </w:rPr>
        <w:t xml:space="preserve">반증 기준은 양의 점추정 유무보다 엄격해야 한다. 위약 날짜, 공지·개시 분리, 실적일 제외, 종목 하나씩 제거, 사전추세와 추세 위반 민감도에서 결론을 점검한다. 사전추세 검정의 비유의성은 평행추세의 증명이 아니다. 처리군 10종목에 수백 거래일을 붙여도 처리 단위가 수천 개가 되지 않으므로 작은 군집과 공통 날짜 충격을 반영해야 한다. 로그 효과를 분산 비율로 바꾸면 </w:t>
      </w:r>
      <w:r>
        <w:rPr>
          <w:rFonts w:ascii="Malgun Gothic" w:hAnsi="Malgun Gothic" w:eastAsia="Malgun Gothic"/>
          <w:b w:val="0"/>
        </w:rPr>
        <w:t>exp(ATT)-1</w:t>
      </w:r>
      <w:r>
        <w:rPr>
          <w:rFonts w:ascii="Malgun Gothic" w:hAnsi="Malgun Gothic" w:eastAsia="Malgun Gothic"/>
          <w:b w:val="0"/>
        </w:rPr>
        <w:t xml:space="preserve">, 변동성 비율이면 </w:t>
      </w:r>
      <w:r>
        <w:rPr>
          <w:rFonts w:ascii="Malgun Gothic" w:hAnsi="Malgun Gothic" w:eastAsia="Malgun Gothic"/>
          <w:b w:val="0"/>
        </w:rPr>
        <w:t>exp(ATT/2)-1</w:t>
      </w:r>
      <w:r>
        <w:rPr>
          <w:rFonts w:ascii="Malgun Gothic" w:hAnsi="Malgun Gothic" w:eastAsia="Malgun Gothic"/>
          <w:b w:val="0"/>
        </w:rPr>
        <w:t>이며 현물 수익률 효과가 아니다. 음의 효과·0·넓은 구간도 원 가설에 대한 유효한 결과다. 지금은 사건 원장과 자료 커버리지를 확정하는 단계이며 ATT는 미추정이다. (</w:t>
      </w:r>
      <w:hyperlink r:id="rId20">
        <w:r>
          <w:rPr>
            <w:rFonts w:ascii="Malgun Gothic" w:hAnsi="Malgun Gothic" w:eastAsia="Malgun Gothic"/>
            <w:color w:val="185A8A"/>
            <w:u w:val="single"/>
          </w:rPr>
          <w:t>평행추세 민감도 방법</w:t>
        </w:r>
      </w:hyperlink>
      <w:r>
        <w:rPr>
          <w:rFonts w:ascii="Malgun Gothic" w:hAnsi="Malgun Gothic" w:eastAsia="Malgun Gothic"/>
          <w:b w:val="0"/>
        </w:rPr>
        <w:t>)</w:t>
      </w:r>
    </w:p>
    <w:p>
      <w:pPr>
        <w:pStyle w:val="Heading2"/>
      </w:pPr>
      <w:r>
        <w:rPr>
          <w:rFonts w:ascii="Malgun Gothic" w:hAnsi="Malgun Gothic" w:eastAsia="Malgun Gothic"/>
          <w:b w:val="0"/>
        </w:rPr>
        <w:t>H2 해외 정보가 유용한지와 학습한 관계가 이전되는지 따로 묻는다</w:t>
      </w:r>
    </w:p>
    <w:p>
      <w:r>
        <w:rPr>
          <w:rFonts w:ascii="Malgun Gothic" w:hAnsi="Malgun Gothic" w:eastAsia="Malgun Gothic"/>
          <w:b w:val="0"/>
        </w:rPr>
        <w:t xml:space="preserve">H2는 지수→지수와 개별주식→개별주식으로 먼저 나눠야 한다. 해외 개별주식 옵션의 배당·실적 점프·행사 구조를 국내 지수와 동일시할 수 없다. 홍콩 위클리 주식옵션은 </w:t>
      </w:r>
      <w:r>
        <w:rPr>
          <w:rFonts w:ascii="Malgun Gothic" w:hAnsi="Malgun Gothic" w:eastAsia="Malgun Gothic"/>
          <w:b/>
        </w:rPr>
        <w:t>미국형 행사·실물인수도</w:t>
      </w:r>
      <w:r>
        <w:rPr>
          <w:rFonts w:ascii="Malgun Gothic" w:hAnsi="Malgun Gothic" w:eastAsia="Malgun Gothic"/>
          <w:b w:val="0"/>
        </w:rPr>
        <w:t>를 사용한다. 따라서 아시아권이라는 지리적 이유만으로 국내 상품과 더 비슷하다고 가정할 수 없다. JPX의 현재 Nikkei 225 mini 옵션과 TAIFEX의 현재 주식·ETF 옵션 규격도 상품 유형과 만기·결제 조건을 확인하는 자료이지 모든 과거 기간에 소급할 단일 규칙은 아니다. (</w:t>
      </w:r>
      <w:hyperlink r:id="rId21">
        <w:r>
          <w:rPr>
            <w:rFonts w:ascii="Malgun Gothic" w:hAnsi="Malgun Gothic" w:eastAsia="Malgun Gothic"/>
            <w:color w:val="185A8A"/>
            <w:u w:val="single"/>
          </w:rPr>
          <w:t>HKEX 규격</w:t>
        </w:r>
      </w:hyperlink>
      <w:r>
        <w:rPr>
          <w:rFonts w:ascii="Malgun Gothic" w:hAnsi="Malgun Gothic" w:eastAsia="Malgun Gothic"/>
          <w:b w:val="0"/>
        </w:rPr>
        <w:t xml:space="preserve">, </w:t>
      </w:r>
      <w:hyperlink r:id="rId22">
        <w:r>
          <w:rPr>
            <w:rFonts w:ascii="Malgun Gothic" w:hAnsi="Malgun Gothic" w:eastAsia="Malgun Gothic"/>
            <w:color w:val="185A8A"/>
            <w:u w:val="single"/>
          </w:rPr>
          <w:t>JPX 규격</w:t>
        </w:r>
      </w:hyperlink>
      <w:r>
        <w:rPr>
          <w:rFonts w:ascii="Malgun Gothic" w:hAnsi="Malgun Gothic" w:eastAsia="Malgun Gothic"/>
          <w:b w:val="0"/>
        </w:rPr>
        <w:t xml:space="preserve">, </w:t>
      </w:r>
      <w:hyperlink r:id="rId23">
        <w:r>
          <w:rPr>
            <w:rFonts w:ascii="Malgun Gothic" w:hAnsi="Malgun Gothic" w:eastAsia="Malgun Gothic"/>
            <w:color w:val="185A8A"/>
            <w:u w:val="single"/>
          </w:rPr>
          <w:t>TAIFEX 규격</w:t>
        </w:r>
      </w:hyperlink>
      <w:r>
        <w:rPr>
          <w:rFonts w:ascii="Malgun Gothic" w:hAnsi="Malgun Gothic" w:eastAsia="Malgun Gothic"/>
          <w:b w:val="0"/>
        </w:rPr>
        <w:t>)</w:t>
      </w:r>
    </w:p>
    <w:p>
      <w:r>
        <w:rPr>
          <w:rFonts w:ascii="Malgun Gothic" w:hAnsi="Malgun Gothic" w:eastAsia="Malgun Gothic"/>
          <w:b w:val="0"/>
        </w:rPr>
        <w:t xml:space="preserve">운영상 목표는 국내 고정 기초자산의 다음 세션 RV, 보조 목표는 다음 5거래일 RV다. 같은 국내 테스트 날짜에서 </w:t>
      </w:r>
      <w:r>
        <w:rPr>
          <w:rFonts w:ascii="Malgun Gothic" w:hAnsi="Malgun Gothic" w:eastAsia="Malgun Gothic"/>
          <w:b w:val="0"/>
        </w:rPr>
        <w:t>Δ=평균[L(국내 단독)-L(전이)]</w:t>
      </w:r>
      <w:r>
        <w:rPr>
          <w:rFonts w:ascii="Malgun Gothic" w:hAnsi="Malgun Gothic" w:eastAsia="Malgun Gothic"/>
          <w:b w:val="0"/>
        </w:rPr>
        <w:t xml:space="preserve">를 추정하며 양수는 개선, 음수는 부정적 전이다. 최소 비교군은 국내 RV 기준, 국내 옵션 피처 추가, 국내 자료로만 학습하되 해외 요약정보 추가, 공통 변수로 국내외 표본 단순 통합, 해외만 학습한 무조정 적용, 해외 사전학습 후 국내 훈련구간 조정이다. </w:t>
      </w:r>
      <w:r>
        <w:rPr>
          <w:rFonts w:ascii="Malgun Gothic" w:hAnsi="Malgun Gothic" w:eastAsia="Malgun Gothic"/>
          <w:b/>
        </w:rPr>
        <w:t>해외 요약변수 추가의 개선은 국제 정보유입의 가치이고, 해외 학습 관계의 전이 성공과는 다르다.</w:t>
      </w:r>
      <w:r>
        <w:rPr>
          <w:rFonts w:ascii="Malgun Gothic" w:hAnsi="Malgun Gothic" w:eastAsia="Malgun Gothic"/>
          <w:b w:val="0"/>
        </w:rPr>
        <w:t xml:space="preserve"> 같은 learner·공통 피처·튜닝 예산으로 단순 통합과 전이를 비교해야 표본 증가와 기법 효과를 구분할 수 있다.</w:t>
      </w:r>
    </w:p>
    <w:p>
      <w:r>
        <w:rPr>
          <w:rFonts w:ascii="Malgun Gothic" w:hAnsi="Malgun Gothic" w:eastAsia="Malgun Gothic"/>
          <w:b w:val="0"/>
        </w:rPr>
        <w:t xml:space="preserve">공통 변수에는 </w:t>
      </w:r>
      <w:r>
        <w:rPr>
          <w:rFonts w:ascii="Malgun Gothic" w:hAnsi="Malgun Gothic" w:eastAsia="Malgun Gothic"/>
          <w:b w:val="0"/>
        </w:rPr>
        <w:t>log(K/F)</w:t>
      </w:r>
      <w:r>
        <w:rPr>
          <w:rFonts w:ascii="Malgun Gothic" w:hAnsi="Malgun Gothic" w:eastAsia="Malgun Gothic"/>
          <w:b w:val="0"/>
        </w:rPr>
        <w:t>, 정확한 잔존시간, 콜풋, 상대스프레드, OI 변화, 거래밀도와 상품 메타데이터를 둔다. 원시 계약 수는 승수와 기초자산 규모가 달라 그대로 합치지 않는다. IV는 %·소수·연율화·행사모형이 검증된 경우에만 공통 피처로 사용한다. 예측시각 이전에 알려진 해외 값만 사용하고 해외 사전학습에도 해당 국내 테스트 시각 이후 자료를 넣지 않는다. 현지 날짜가 같아도 아직 끝나지 않은 해외 세션 종가를 쓰면 누수다. 마지막 국내 연속 기간을 보유한 채 튜닝은 그 이전 시간검증에서만 한다. 이러한 통제 이후에도 목표 분포와 관계가 달라 실패할 수 있으며 표준화만으로 경제적 차이가 사라지지 않는다. (</w:t>
      </w:r>
      <w:hyperlink r:id="rId24">
        <w:r>
          <w:rPr>
            <w:rFonts w:ascii="Malgun Gothic" w:hAnsi="Malgun Gothic" w:eastAsia="Malgun Gothic"/>
            <w:color w:val="185A8A"/>
            <w:u w:val="single"/>
          </w:rPr>
          <w:t>도메인 적응 이론의 조건과 한계</w:t>
        </w:r>
      </w:hyperlink>
      <w:r>
        <w:rPr>
          <w:rFonts w:ascii="Malgun Gothic" w:hAnsi="Malgun Gothic" w:eastAsia="Malgun Gothic"/>
          <w:b w:val="0"/>
        </w:rPr>
        <w:t>)</w:t>
      </w:r>
    </w:p>
    <w:p>
      <w:r>
        <w:rPr>
          <w:rFonts w:ascii="Malgun Gothic" w:hAnsi="Malgun Gothic" w:eastAsia="Malgun Gothic"/>
          <w:b w:val="0"/>
        </w:rPr>
        <w:t>전이가 평균 손실을 줄여도 만기·고위험 구간의 손실이나 경보 보정을 악화시키면 채택을 재검토한다. 국내 단독을 항상 후보에 남기고 국가 제외·표본수 일치 비교로 한 시장에만 의존하는지 확인한다. 현재는 양 시장의 동기간 RV·옵션 이력과 실제 지원 범위가 없어 성능을 계산할 수 없다. NH 해외 API 경로가 있다는 사실로 HKEX·JPX·TAIFEX 대상의 역사자료 확보를 약속하지 않는다.</w:t>
      </w:r>
    </w:p>
    <w:p>
      <w:pPr>
        <w:pStyle w:val="Heading2"/>
      </w:pPr>
      <w:r>
        <w:rPr>
          <w:rFonts w:ascii="Malgun Gothic" w:hAnsi="Malgun Gothic" w:eastAsia="Malgun Gothic"/>
          <w:b w:val="0"/>
        </w:rPr>
        <w:t>H4 효과 크기 차이와 방향 반전은 다른 주장이다</w:t>
      </w:r>
    </w:p>
    <w:p>
      <w:r>
        <w:rPr>
          <w:rFonts w:ascii="Malgun Gothic" w:hAnsi="Malgun Gothic" w:eastAsia="Malgun Gothic"/>
          <w:b w:val="0"/>
        </w:rPr>
        <w:t xml:space="preserve">원 H4의 추정 대상은 도입 전 상태에 따른 </w:t>
      </w:r>
      <w:r>
        <w:rPr>
          <w:rFonts w:ascii="Malgun Gothic" w:hAnsi="Malgun Gothic" w:eastAsia="Malgun Gothic"/>
          <w:b w:val="0"/>
        </w:rPr>
        <w:t>ATT(g,t;s_pre)</w:t>
      </w:r>
      <w:r>
        <w:rPr>
          <w:rFonts w:ascii="Malgun Gothic" w:hAnsi="Malgun Gothic" w:eastAsia="Malgun Gothic"/>
          <w:b w:val="0"/>
        </w:rPr>
        <w:t>다. 같은 날 도입된 홍콩 10종목은 하나의 공통 도입 국면을 제공하므로 그 사건 하나로 공포와 탐욕 두 상황의 도입효과를 비교할 수 없다. 여러 코호트·시장이 있어도 국가와 국면이 완전히 겹치지 않는지 확인해야 한다. 도입 이후 심리로 표본을 나누면 처리의 영향을 받은 변수로 다시 조건화하는 문제가 생긴다. 하루 시차를 두었다고 이 내생성이 자동으로 없어지지 않는다.</w:t>
      </w:r>
    </w:p>
    <w:p>
      <w:r>
        <w:rPr>
          <w:rFonts w:ascii="Malgun Gothic" w:hAnsi="Malgun Gothic" w:eastAsia="Malgun Gothic"/>
          <w:b w:val="0"/>
        </w:rPr>
        <w:t>심리 후보와 위험 상태도 구별한다. VIX는 SPX 옵션이 내포한 향후 30일 예상 변동성 지표이며 한국의 순수한 심리 정답이 아니다. KCMI CMSI는 뉴스 기반 지수로 검토할 가치가 있지만 보고서의 역사 지수가 당시 장중 이용 가능했다는 뜻은 아니다. 월별 값을 당월 초부터 채우거나 미래까지 학습한 텍스트 모형의 과거 재구성 값을 실시간 관측으로 쓰면 안 된다. 공개시각·개정판본을 확보하지 못하면 사후 설명용으로 범위를 제한한다. (</w:t>
      </w:r>
      <w:hyperlink r:id="rId25">
        <w:r>
          <w:rPr>
            <w:rFonts w:ascii="Malgun Gothic" w:hAnsi="Malgun Gothic" w:eastAsia="Malgun Gothic"/>
            <w:color w:val="185A8A"/>
            <w:u w:val="single"/>
          </w:rPr>
          <w:t>Cboe VIX 설명</w:t>
        </w:r>
      </w:hyperlink>
      <w:r>
        <w:rPr>
          <w:rFonts w:ascii="Malgun Gothic" w:hAnsi="Malgun Gothic" w:eastAsia="Malgun Gothic"/>
          <w:b w:val="0"/>
        </w:rPr>
        <w:t xml:space="preserve">, </w:t>
      </w:r>
      <w:hyperlink r:id="rId26">
        <w:r>
          <w:rPr>
            <w:rFonts w:ascii="Malgun Gothic" w:hAnsi="Malgun Gothic" w:eastAsia="Malgun Gothic"/>
            <w:color w:val="185A8A"/>
            <w:u w:val="single"/>
          </w:rPr>
          <w:t>KCMI CMSI 구축 연구</w:t>
        </w:r>
      </w:hyperlink>
      <w:r>
        <w:rPr>
          <w:rFonts w:ascii="Malgun Gothic" w:hAnsi="Malgun Gothic" w:eastAsia="Malgun Gothic"/>
          <w:b w:val="0"/>
        </w:rPr>
        <w:t xml:space="preserve">, </w:t>
      </w:r>
      <w:hyperlink r:id="rId27">
        <w:r>
          <w:rPr>
            <w:rFonts w:ascii="Malgun Gothic" w:hAnsi="Malgun Gothic" w:eastAsia="Malgun Gothic"/>
            <w:color w:val="185A8A"/>
            <w:u w:val="single"/>
          </w:rPr>
          <w:t>KCMI 심리와 시장 관계 연구</w:t>
        </w:r>
      </w:hyperlink>
      <w:r>
        <w:rPr>
          <w:rFonts w:ascii="Malgun Gothic" w:hAnsi="Malgun Gothic" w:eastAsia="Malgun Gothic"/>
          <w:b w:val="0"/>
        </w:rPr>
        <w:t>)</w:t>
      </w:r>
    </w:p>
    <w:p>
      <w:r>
        <w:rPr>
          <w:rFonts w:ascii="Malgun Gothic" w:hAnsi="Malgun Gothic" w:eastAsia="Malgun Gothic"/>
          <w:b w:val="0"/>
        </w:rPr>
        <w:t xml:space="preserve">원 가설은 사전 상태와 처리의 상호작용을 추정하되, 상호작용 유의성만으로 방향 반전을 선언하지 않는다. 공통 지지가 있는 두 사전 지정 상태에서 효과가 실제로 반대 부호인지와 동시 신뢰구간을 보고해야 한다. 한쪽 유의·다른 쪽 비유의도 두 효과의 차이를 입증하지 않는다. 지금 적용하기 쉬운 별도 가설 H4-P는 같은 테스트 날짜에서 </w:t>
      </w:r>
      <w:r>
        <w:rPr>
          <w:rFonts w:ascii="Malgun Gothic" w:hAnsi="Malgun Gothic" w:eastAsia="Malgun Gothic"/>
          <w:b w:val="0"/>
        </w:rPr>
        <w:t>HAR</w:t>
      </w:r>
      <w:r>
        <w:rPr>
          <w:rFonts w:ascii="Malgun Gothic" w:hAnsi="Malgun Gothic" w:eastAsia="Malgun Gothic"/>
          <w:b w:val="0"/>
        </w:rPr>
        <w:t xml:space="preserve">, </w:t>
      </w:r>
      <w:r>
        <w:rPr>
          <w:rFonts w:ascii="Malgun Gothic" w:hAnsi="Malgun Gothic" w:eastAsia="Malgun Gothic"/>
          <w:b w:val="0"/>
        </w:rPr>
        <w:t>HAR+상태</w:t>
      </w:r>
      <w:r>
        <w:rPr>
          <w:rFonts w:ascii="Malgun Gothic" w:hAnsi="Malgun Gothic" w:eastAsia="Malgun Gothic"/>
          <w:b w:val="0"/>
        </w:rPr>
        <w:t xml:space="preserve">, </w:t>
      </w:r>
      <w:r>
        <w:rPr>
          <w:rFonts w:ascii="Malgun Gothic" w:hAnsi="Malgun Gothic" w:eastAsia="Malgun Gothic"/>
          <w:b w:val="0"/>
        </w:rPr>
        <w:t>HAR+옵션</w:t>
      </w:r>
      <w:r>
        <w:rPr>
          <w:rFonts w:ascii="Malgun Gothic" w:hAnsi="Malgun Gothic" w:eastAsia="Malgun Gothic"/>
          <w:b w:val="0"/>
        </w:rPr>
        <w:t xml:space="preserve">, </w:t>
      </w:r>
      <w:r>
        <w:rPr>
          <w:rFonts w:ascii="Malgun Gothic" w:hAnsi="Malgun Gothic" w:eastAsia="Malgun Gothic"/>
          <w:b w:val="0"/>
        </w:rPr>
        <w:t>HAR+상태×옵션</w:t>
      </w:r>
      <w:r>
        <w:rPr>
          <w:rFonts w:ascii="Malgun Gothic" w:hAnsi="Malgun Gothic" w:eastAsia="Malgun Gothic"/>
          <w:b w:val="0"/>
        </w:rPr>
        <w:t>의 국면별 손실 개선을 비교하는 것이다. 단순히 고변동성 국면의 RV가 높다는 결과는 이 검정의 답이 아니다.</w:t>
      </w:r>
    </w:p>
    <w:p>
      <w:r>
        <w:rPr>
          <w:rFonts w:ascii="Malgun Gothic" w:hAnsi="Malgun Gothic" w:eastAsia="Malgun Gothic"/>
          <w:b w:val="0"/>
        </w:rPr>
        <w:t>국면 경계·표준화·클러스터 중심은 매 훈련구간에서만 결정한다. HMM을 도입한다면 미래 관측을 이용한 smoothed state 대신 당시까지의 filtered state를 써야 한다. 평가에는 국면별 날짜 수·완성 라벨 수·손실차·발생률·보정오차를 붙이고 꼬리 표본이 작으면 별도 모형보다 전체모형의 성능 층화부터 한다. 현재 인과·예측 두 버전 모두 시계열이 부족하며, 국면 분할이 전체 성능을 악화시키거나 개선이 재현되지 않는 결과도 허용한다.</w:t>
      </w:r>
    </w:p>
    <w:p>
      <w:pPr>
        <w:pStyle w:val="Heading1"/>
      </w:pPr>
      <w:r>
        <w:rPr>
          <w:rFonts w:ascii="Malgun Gothic" w:hAnsi="Malgun Gothic" w:eastAsia="Malgun Gothic"/>
          <w:b w:val="0"/>
        </w:rPr>
        <w:t>3 포지션 집중 리밸런싱은 같은 수급 자료로 세 번 입증할 수 없다</w:t>
      </w:r>
    </w:p>
    <w:p>
      <w:pPr>
        <w:pStyle w:val="Heading2"/>
      </w:pPr>
      <w:r>
        <w:rPr>
          <w:rFonts w:ascii="Malgun Gothic" w:hAnsi="Malgun Gothic" w:eastAsia="Malgun Gothic"/>
          <w:b w:val="0"/>
        </w:rPr>
        <w:t>H3 옵션 가격을 낮추는 공급과 현물 위험을 낮추는 헤지는 다르다</w:t>
      </w:r>
    </w:p>
    <w:p>
      <w:r>
        <w:rPr>
          <w:rFonts w:ascii="Malgun Gothic" w:hAnsi="Malgun Gothic" w:eastAsia="Malgun Gothic"/>
          <w:b w:val="0"/>
        </w:rPr>
        <w:t xml:space="preserve">커버드콜 매도 공급은 중개자의 위험 부담을 통해 옵션 프리미엄에 영향을 줄 수 있다. 그러나 이는 현물 RV 하락과 동일한 경로가 아니다. 수요 기반 옵션가격 연구는 불완전한 헤지와 수요에 따른 가격 효과를 설명하고, 거래주체를 식별한 감마 연구는 signed 순포지션을 구성해 헤지 방향을 분석한다. 전체 OI에는 거래 양쪽이 함께 존재하므로 </w:t>
      </w:r>
      <w:r>
        <w:rPr>
          <w:rFonts w:ascii="Malgun Gothic" w:hAnsi="Malgun Gothic" w:eastAsia="Malgun Gothic"/>
          <w:b/>
        </w:rPr>
        <w:t>OI×감마만으로 딜러 순감마 부호를 알 수 없다.</w:t>
      </w:r>
      <w:r>
        <w:rPr>
          <w:rFonts w:ascii="Malgun Gothic" w:hAnsi="Malgun Gothic" w:eastAsia="Malgun Gothic"/>
          <w:b w:val="0"/>
        </w:rPr>
        <w:t xml:space="preserve"> 커버드콜 펀드 자신이 현물 보유량을 고정한다면 숏콜이라는 이유만으로 동적 헤지 매도를 한다고 볼 수도 없다. (</w:t>
      </w:r>
      <w:hyperlink r:id="rId28">
        <w:r>
          <w:rPr>
            <w:rFonts w:ascii="Malgun Gothic" w:hAnsi="Malgun Gothic" w:eastAsia="Malgun Gothic"/>
            <w:color w:val="185A8A"/>
            <w:u w:val="single"/>
          </w:rPr>
          <w:t>수요 기반 옵션가격 연구</w:t>
        </w:r>
      </w:hyperlink>
      <w:r>
        <w:rPr>
          <w:rFonts w:ascii="Malgun Gothic" w:hAnsi="Malgun Gothic" w:eastAsia="Malgun Gothic"/>
          <w:b w:val="0"/>
        </w:rPr>
        <w:t xml:space="preserve">, </w:t>
      </w:r>
      <w:hyperlink r:id="rId29">
        <w:r>
          <w:rPr>
            <w:rFonts w:ascii="Malgun Gothic" w:hAnsi="Malgun Gothic" w:eastAsia="Malgun Gothic"/>
            <w:color w:val="185A8A"/>
            <w:u w:val="single"/>
          </w:rPr>
          <w:t>거래주체별 감마 연구</w:t>
        </w:r>
      </w:hyperlink>
      <w:r>
        <w:rPr>
          <w:rFonts w:ascii="Malgun Gothic" w:hAnsi="Malgun Gothic" w:eastAsia="Malgun Gothic"/>
          <w:b w:val="0"/>
        </w:rPr>
        <w:t>)</w:t>
      </w:r>
    </w:p>
    <w:p>
      <w:r>
        <w:rPr>
          <w:rFonts w:ascii="Malgun Gothic" w:hAnsi="Malgun Gothic" w:eastAsia="Malgun Gothic"/>
          <w:b w:val="0"/>
        </w:rPr>
        <w:t xml:space="preserve">제안하는 H3a는 signed vega supply가 1 IQR 늘 때 동일 만기·델타 또는 머니니스에서 IV가 몇 %p 변하는지다. H3b는 같은 공급과 이후 고정 지평 RV의 비율 변화, H3c는 같은 지평의 내재분산과 실제확률 기준 기대분산 차이다. 사후 IV²−RV는 예측오차를 포함하므로 순수 위험프리미엄이라 단정하지 않는다. 콜 공급은 </w:t>
      </w:r>
      <w:r>
        <w:rPr>
          <w:rFonts w:ascii="Malgun Gothic" w:hAnsi="Malgun Gothic" w:eastAsia="Malgun Gothic"/>
          <w:b w:val="0"/>
        </w:rPr>
        <w:t>펀드×계약×시각</w:t>
      </w:r>
      <w:r>
        <w:rPr>
          <w:rFonts w:ascii="Malgun Gothic" w:hAnsi="Malgun Gothic" w:eastAsia="Malgun Gothic"/>
          <w:b w:val="0"/>
        </w:rPr>
        <w:t>의 signed 계약수 변화로 관측하고 신규·환매·롤을 나눈다. 베가는 원/IV 1%p인지 원/IV 1.0인지 명시하고 상대방의 최종 포지션이 없으면 감마 설명은 조건부 메커니즘으로 남긴다.</w:t>
      </w:r>
    </w:p>
    <w:p>
      <w:r>
        <w:rPr>
          <w:rFonts w:ascii="Malgun Gothic" w:hAnsi="Malgun Gothic" w:eastAsia="Malgun Gothic"/>
          <w:b/>
        </w:rPr>
        <w:t>AUM 증가는 순유입이 아니다.</w:t>
      </w:r>
      <w:r>
        <w:rPr>
          <w:rFonts w:ascii="Malgun Gothic" w:hAnsi="Malgun Gothic" w:eastAsia="Malgun Gothic"/>
          <w:b w:val="0"/>
        </w:rPr>
        <w:t xml:space="preserve"> 발행좌수 변화와 NAV, 분할·분배금 조정을 이용해 설정·환매를 구분해야 한다. 국내 지수형 사례인 KODEX 200타겟위클리커버드콜은 실재하지만 매도 비중을 탄력적으로 조정하므로 AUM×고정비율로 실제 옵션 공급을 확정할 수 없다. 이 사례는 개별주식 위클리 상장 상태의 증거도 아니다. 실제 공급 대상을 확인한 뒤 계약 패널에서 인접 만기·델타를 비교할 수 있으나 위험 전이가 있어 완전한 무처리 대조는 아닐 수 있다. 외생 공급 충격이 없으면 추정치는 조건부 관련성이다. (</w:t>
      </w:r>
      <w:hyperlink r:id="rId30">
        <w:r>
          <w:rPr>
            <w:rFonts w:ascii="Malgun Gothic" w:hAnsi="Malgun Gothic" w:eastAsia="Malgun Gothic"/>
            <w:color w:val="185A8A"/>
            <w:u w:val="single"/>
          </w:rPr>
          <w:t>운용사 팩트시트</w:t>
        </w:r>
      </w:hyperlink>
      <w:r>
        <w:rPr>
          <w:rFonts w:ascii="Malgun Gothic" w:hAnsi="Malgun Gothic" w:eastAsia="Malgun Gothic"/>
          <w:b w:val="0"/>
        </w:rPr>
        <w:t xml:space="preserve">, </w:t>
      </w:r>
      <w:hyperlink r:id="rId31">
        <w:r>
          <w:rPr>
            <w:rFonts w:ascii="Malgun Gothic" w:hAnsi="Malgun Gothic" w:eastAsia="Malgun Gothic"/>
            <w:color w:val="185A8A"/>
            <w:u w:val="single"/>
          </w:rPr>
          <w:t>운용사 상품 구조 설명</w:t>
        </w:r>
      </w:hyperlink>
      <w:r>
        <w:rPr>
          <w:rFonts w:ascii="Malgun Gothic" w:hAnsi="Malgun Gothic" w:eastAsia="Malgun Gothic"/>
          <w:b w:val="0"/>
        </w:rPr>
        <w:t>)</w:t>
      </w:r>
    </w:p>
    <w:p>
      <w:r>
        <w:rPr>
          <w:rFonts w:ascii="Malgun Gothic" w:hAnsi="Malgun Gothic" w:eastAsia="Malgun Gothic"/>
          <w:b w:val="0"/>
        </w:rPr>
        <w:t>반증은 실제 매도 대상 밖 계약, 위약 롤 날짜, 미래 유입으로 과거 IV를 설명하는 시간 역전, NAV 상승만 큰 날의 가짜 유입에서 점검한다. IV 하락만 나타나면 프리미엄 압력의 증거이며 현물 안정화 주장은 남겨둔다. 현재 설정좌수·포지션·공표시각·호가 이력이 없으므로 원 H3는 보류하고, NH 집계 순매도는 아래 공동 예측 실험의 피처로만 사용한다.</w:t>
      </w:r>
    </w:p>
    <w:p>
      <w:pPr>
        <w:pStyle w:val="Heading2"/>
      </w:pPr>
      <w:r>
        <w:rPr>
          <w:rFonts w:ascii="Malgun Gothic" w:hAnsi="Malgun Gothic" w:eastAsia="Malgun Gothic"/>
          <w:b w:val="0"/>
        </w:rPr>
        <w:t>H7 보유자 집중과 거래군 집중을 서로 다른 변수로 등록한다</w:t>
      </w:r>
    </w:p>
    <w:p>
      <w:r>
        <w:rPr>
          <w:rFonts w:ascii="Malgun Gothic" w:hAnsi="Malgun Gothic" w:eastAsia="Malgun Gothic"/>
          <w:b w:val="0"/>
        </w:rPr>
        <w:t xml:space="preserve">원 H7 코드의 집중도는 네 종목에 부여한 고정값이고, </w:t>
      </w:r>
      <w:r>
        <w:rPr>
          <w:rFonts w:ascii="Malgun Gothic" w:hAnsi="Malgun Gothic" w:eastAsia="Malgun Gothic"/>
          <w:b w:val="0"/>
        </w:rPr>
        <w:t>true_sensitivity=0.15+1.1×conc</w:t>
      </w:r>
      <w:r>
        <w:rPr>
          <w:rFonts w:ascii="Malgun Gothic" w:hAnsi="Malgun Gothic" w:eastAsia="Malgun Gothic"/>
          <w:b w:val="0"/>
        </w:rPr>
        <w:t>로 변동성 민감도를 생성했다. 4개 종목×150주여도 집중도 횡단면은 4개이며 양의 관계는 생성식의 결과다. 실증의 출발점은 무엇이 집중됐는지 정의하는 일이다. 소유구조 연구 역시 기관 지분율 하나보다 소유자의 유동성 충격과 그 공분산을 함께 고려하며 단순 집중이 언제나 같은 위험을 뜻하지 않음을 보여준다. (</w:t>
      </w:r>
      <w:hyperlink r:id="rId11">
        <w:r>
          <w:rPr>
            <w:rFonts w:ascii="Malgun Gothic" w:hAnsi="Malgun Gothic" w:eastAsia="Malgun Gothic"/>
            <w:color w:val="185A8A"/>
            <w:u w:val="single"/>
          </w:rPr>
          <w:t>원본 검토</w:t>
        </w:r>
      </w:hyperlink>
      <w:r>
        <w:rPr>
          <w:rFonts w:ascii="Malgun Gothic" w:hAnsi="Malgun Gothic" w:eastAsia="Malgun Gothic"/>
          <w:b w:val="0"/>
        </w:rPr>
        <w:t xml:space="preserve">, </w:t>
      </w:r>
      <w:hyperlink r:id="rId32">
        <w:r>
          <w:rPr>
            <w:rFonts w:ascii="Malgun Gothic" w:hAnsi="Malgun Gothic" w:eastAsia="Malgun Gothic"/>
            <w:color w:val="185A8A"/>
            <w:u w:val="single"/>
          </w:rPr>
          <w:t>Stock Price Fragility</w:t>
        </w:r>
      </w:hyperlink>
      <w:r>
        <w:rPr>
          <w:rFonts w:ascii="Malgun Gothic" w:hAnsi="Malgun Gothic" w:eastAsia="Malgun Gothic"/>
          <w:b w:val="0"/>
        </w:rPr>
        <w:t>)</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60"/>
        <w:gridCol w:w="4464"/>
      </w:tblGrid>
      <w:tr>
        <w:trPr>
          <w:cantSplit/>
          <w:tblHeader/>
        </w:trPr>
        <w:tc>
          <w:tcPr>
            <w:tcW w:type="dxa" w:w="1800"/>
            <w:vAlign w:val="center"/>
            <w:shd w:val="clear" w:fill="243B53"/>
            <w:tcMar>
              <w:top w:w="90" w:type="dxa"/>
              <w:bottom w:w="90" w:type="dxa"/>
              <w:left w:w="100" w:type="dxa"/>
              <w:right w:w="100" w:type="dxa"/>
            </w:tcMar>
          </w:tcPr>
          <w:p>
            <w:pPr>
              <w:spacing w:after="0" w:line="276" w:lineRule="auto"/>
              <w:jc w:val="left"/>
            </w:pPr>
            <w:r>
              <w:rPr>
                <w:rFonts w:ascii="Malgun Gothic" w:hAnsi="Malgun Gothic" w:eastAsia="Malgun Gothic"/>
                <w:b/>
                <w:color w:val="FFFFFF"/>
                <w:sz w:val="19"/>
              </w:rPr>
              <w:t>변수</w:t>
            </w:r>
          </w:p>
        </w:tc>
        <w:tc>
          <w:tcPr>
            <w:tcW w:type="dxa" w:w="3960"/>
            <w:vAlign w:val="center"/>
            <w:shd w:val="clear" w:fill="243B53"/>
            <w:tcMar>
              <w:top w:w="90" w:type="dxa"/>
              <w:bottom w:w="90" w:type="dxa"/>
              <w:left w:w="100" w:type="dxa"/>
              <w:right w:w="100" w:type="dxa"/>
            </w:tcMar>
          </w:tcPr>
          <w:p>
            <w:pPr>
              <w:spacing w:after="0" w:line="276" w:lineRule="auto"/>
              <w:jc w:val="left"/>
            </w:pPr>
            <w:r>
              <w:rPr>
                <w:rFonts w:ascii="Malgun Gothic" w:hAnsi="Malgun Gothic" w:eastAsia="Malgun Gothic"/>
                <w:b/>
                <w:color w:val="FFFFFF"/>
                <w:sz w:val="19"/>
              </w:rPr>
              <w:t>정의·단위</w:t>
            </w:r>
          </w:p>
        </w:tc>
        <w:tc>
          <w:tcPr>
            <w:tcW w:type="dxa" w:w="4464"/>
            <w:vAlign w:val="center"/>
            <w:shd w:val="clear" w:fill="243B53"/>
            <w:tcMar>
              <w:top w:w="90" w:type="dxa"/>
              <w:bottom w:w="90" w:type="dxa"/>
              <w:left w:w="100" w:type="dxa"/>
              <w:right w:w="100" w:type="dxa"/>
            </w:tcMar>
          </w:tcPr>
          <w:p>
            <w:pPr>
              <w:spacing w:after="0" w:line="276" w:lineRule="auto"/>
              <w:jc w:val="left"/>
            </w:pPr>
            <w:r>
              <w:rPr>
                <w:rFonts w:ascii="Malgun Gothic" w:hAnsi="Malgun Gothic" w:eastAsia="Malgun Gothic"/>
                <w:b/>
                <w:color w:val="FFFFFF"/>
                <w:sz w:val="19"/>
              </w:rPr>
              <w:t>답할 수 있는 질문</w:t>
            </w:r>
          </w:p>
        </w:tc>
      </w:tr>
      <w:tr>
        <w:trPr>
          <w:cantSplit/>
        </w:trPr>
        <w:tc>
          <w:tcPr>
            <w:tcW w:type="dxa" w:w="180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범주 보유비중</w:t>
            </w:r>
          </w:p>
        </w:tc>
        <w:tc>
          <w:tcPr>
            <w:tcW w:type="dxa" w:w="396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외국인·기관 보유/유통주식, 0–1</w:t>
            </w:r>
          </w:p>
        </w:tc>
        <w:tc>
          <w:tcPr>
            <w:tcW w:type="dxa" w:w="446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어떤 투자자 범주가 많이 보유하는가</w:t>
            </w:r>
          </w:p>
        </w:tc>
      </w:tr>
      <w:tr>
        <w:trPr>
          <w:cantSplit/>
        </w:trPr>
        <w:tc>
          <w:tcPr>
            <w:tcW w:type="dxa" w:w="180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보유자 HHI</w:t>
            </w:r>
          </w:p>
        </w:tc>
        <w:tc>
          <w:tcPr>
            <w:tcW w:type="dxa" w:w="396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개별 소유자 보유점유율 제곱합</w:t>
            </w:r>
          </w:p>
        </w:tc>
        <w:tc>
          <w:tcPr>
            <w:tcW w:type="dxa" w:w="446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실제 소유가 소수 주체에 집중됐는가</w:t>
            </w:r>
          </w:p>
        </w:tc>
      </w:tr>
      <w:tr>
        <w:trPr>
          <w:cantSplit/>
        </w:trPr>
        <w:tc>
          <w:tcPr>
            <w:tcW w:type="dxa" w:w="180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투자자군 거래 HHI</w:t>
            </w:r>
          </w:p>
        </w:tc>
        <w:tc>
          <w:tcPr>
            <w:tcW w:type="dxa" w:w="396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상호배타적 군의 매수+매도 점유율 제곱합</w:t>
            </w:r>
          </w:p>
        </w:tc>
        <w:tc>
          <w:tcPr>
            <w:tcW w:type="dxa" w:w="446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거래가 몇 개 집계군에 집중됐는가</w:t>
            </w:r>
          </w:p>
        </w:tc>
      </w:tr>
      <w:tr>
        <w:trPr>
          <w:cantSplit/>
        </w:trPr>
        <w:tc>
          <w:tcPr>
            <w:tcW w:type="dxa" w:w="180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행사가 OI HHI</w:t>
            </w:r>
          </w:p>
        </w:tc>
        <w:tc>
          <w:tcPr>
            <w:tcW w:type="dxa" w:w="396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동일 기초자산·만기·콜풋의 행사가별 OI 점유율 제곱합</w:t>
            </w:r>
          </w:p>
        </w:tc>
        <w:tc>
          <w:tcPr>
            <w:tcW w:type="dxa" w:w="446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잔고가 특정 행사가에 모였는가</w:t>
            </w:r>
          </w:p>
        </w:tc>
      </w:tr>
    </w:tbl>
    <w:p>
      <w:pPr>
        <w:spacing w:after="0"/>
      </w:pPr>
    </w:p>
    <w:p>
      <w:r>
        <w:rPr>
          <w:rFonts w:ascii="Malgun Gothic" w:hAnsi="Malgun Gothic" w:eastAsia="Malgun Gothic"/>
          <w:b w:val="0"/>
        </w:rPr>
        <w:t>HHI에는 음수·상쇄가 가능한 순매수를 점유율로 넣지 않는다. 기관합계와 하위군, 총합계를 함께 넣으면 중복이다. 미관측 보유자를 한 개의 기타 소유자로 합쳐도 집중도를 왜곡한다. OI HHI는 신규 행사가와 만기 소멸만으로 변할 수 있으므로 체인 커버리지·잔존시간·OI 합계와 함께 보고한다. 일부 구독 계약만 있으면 관측 표본 내 집중도이며 시장 전체 집중도가 아니다.</w:t>
      </w:r>
    </w:p>
    <w:p>
      <w:r>
        <w:rPr>
          <w:rFonts w:ascii="Malgun Gothic" w:hAnsi="Malgun Gothic" w:eastAsia="Malgun Gothic"/>
          <w:b w:val="0"/>
        </w:rPr>
        <w:t xml:space="preserve">원 가설의 추정 대상은 옵션 활동 </w:t>
      </w:r>
      <w:r>
        <w:rPr>
          <w:rFonts w:ascii="Malgun Gothic" w:hAnsi="Malgun Gothic" w:eastAsia="Malgun Gothic"/>
          <w:b w:val="0"/>
        </w:rPr>
        <w:t>X</w:t>
      </w:r>
      <w:r>
        <w:rPr>
          <w:rFonts w:ascii="Malgun Gothic" w:hAnsi="Malgun Gothic" w:eastAsia="Malgun Gothic"/>
          <w:b w:val="0"/>
        </w:rPr>
        <w:t xml:space="preserve">와 사전 공표 집중도 </w:t>
      </w:r>
      <w:r>
        <w:rPr>
          <w:rFonts w:ascii="Malgun Gothic" w:hAnsi="Malgun Gothic" w:eastAsia="Malgun Gothic"/>
          <w:b w:val="0"/>
        </w:rPr>
        <w:t>C</w:t>
      </w:r>
      <w:r>
        <w:rPr>
          <w:rFonts w:ascii="Malgun Gothic" w:hAnsi="Malgun Gothic" w:eastAsia="Malgun Gothic"/>
          <w:b w:val="0"/>
        </w:rPr>
        <w:t xml:space="preserve">의 상호작용이다. 예를 들어 </w:t>
      </w:r>
      <w:r>
        <w:rPr>
          <w:rFonts w:ascii="Malgun Gothic" w:hAnsi="Malgun Gothic" w:eastAsia="Malgun Gothic"/>
          <w:b w:val="0"/>
        </w:rPr>
        <w:t>log RV(i,t+h)=종목효과+날짜효과+βX+θX×C+통제</w:t>
      </w:r>
      <w:r>
        <w:rPr>
          <w:rFonts w:ascii="Malgun Gothic" w:hAnsi="Malgun Gothic" w:eastAsia="Malgun Gothic"/>
          <w:b w:val="0"/>
        </w:rPr>
        <w:t>에서 집중도 1 IQR 차이에 따른 활동의 한계효과를 보고한다. C가 고정이면 주효과는 종목효과에 흡수되고 상호작용도 종목간 규모·업종 차이와 구별하기 어렵다. 가능하면 종목 내 집중 변화와 종목 평균을 나눠야 한다. 두 지수의 RV를 계약마다 복제하는 것으로 소유구조 횡단면을 늘릴 수는 없다.</w:t>
      </w:r>
    </w:p>
    <w:p>
      <w:r>
        <w:rPr>
          <w:rFonts w:ascii="Malgun Gothic" w:hAnsi="Malgun Gothic" w:eastAsia="Malgun Gothic"/>
          <w:b w:val="0"/>
        </w:rPr>
        <w:t>원 H7은 개별 보유자료와 공표시차가 확보돼야 착수한다. 미래 집중도의 과거 예측, 종목 하나씩 제외, OI 총량·상장 행사가 수 통제, 집계 범주 변경에서 결과가 사라지는지 확인한다. 높은 집중이 안정적인 장기보유를 뜻하면 예상과 반대 결과도 가능하다. NH 거래군·행사가 집중의 예측 성과가 나오더라도 이는 원 H7의 소유집중 인과효과를 입증하지 않는다.</w:t>
      </w:r>
    </w:p>
    <w:p>
      <w:pPr>
        <w:pStyle w:val="Heading2"/>
      </w:pPr>
      <w:r>
        <w:rPr>
          <w:rFonts w:ascii="Malgun Gothic" w:hAnsi="Malgun Gothic" w:eastAsia="Malgun Gothic"/>
          <w:b w:val="0"/>
        </w:rPr>
        <w:t>H8 순매수 급증을 리밸런싱 사건으로 소급 지정하지 않는다</w:t>
      </w:r>
    </w:p>
    <w:p>
      <w:r>
        <w:rPr>
          <w:rFonts w:ascii="Malgun Gothic" w:hAnsi="Malgun Gothic" w:eastAsia="Malgun Gothic"/>
          <w:b w:val="0"/>
        </w:rPr>
        <w:t>H8은 사전에 확인된 목표비중 변경, ETF 설정·환매, 규칙 기반 옵션 롤, 지수 정기변경을 구분해야 한다. 월말·목요일·기관 매수전환을 리밸런싱 날짜로 임의 지정하면 결과와 사건 선택이 동시에 결정된다. 지수 변경 연구도 단순 편입 뉴스보다 규칙에 기반한 식별을 따로 설계했다. 국내 사건에 동일한 외생성을 자동 부여해서는 안 된다. (</w:t>
      </w:r>
      <w:hyperlink r:id="rId33">
        <w:r>
          <w:rPr>
            <w:rFonts w:ascii="Malgun Gothic" w:hAnsi="Malgun Gothic" w:eastAsia="Malgun Gothic"/>
            <w:color w:val="185A8A"/>
            <w:u w:val="single"/>
          </w:rPr>
          <w:t>지수 변경 식별 연구</w:t>
        </w:r>
      </w:hyperlink>
      <w:r>
        <w:rPr>
          <w:rFonts w:ascii="Malgun Gothic" w:hAnsi="Malgun Gothic" w:eastAsia="Malgun Gothic"/>
          <w:b w:val="0"/>
        </w:rPr>
        <w:t>)</w:t>
      </w:r>
    </w:p>
    <w:p>
      <w:r>
        <w:rPr>
          <w:rFonts w:ascii="Malgun Gothic" w:hAnsi="Malgun Gothic" w:eastAsia="Malgun Gothic"/>
          <w:b w:val="0"/>
        </w:rPr>
        <w:t xml:space="preserve">제안하는 사건 원장은 </w:t>
      </w:r>
      <w:r>
        <w:rPr>
          <w:rFonts w:ascii="Malgun Gothic" w:hAnsi="Malgun Gothic" w:eastAsia="Malgun Gothic"/>
          <w:b w:val="0"/>
        </w:rPr>
        <w:t>event_id, event_type, entity, underlying, announcement_at, effective_at, received_at, expected_change, realized_change, unit, source</w:t>
      </w:r>
      <w:r>
        <w:rPr>
          <w:rFonts w:ascii="Malgun Gothic" w:hAnsi="Malgun Gothic" w:eastAsia="Malgun Gothic"/>
          <w:b w:val="0"/>
        </w:rPr>
        <w:t>를 갖는다. 예상 현물 주문 압력은 사전에 알려진 비중 변화×추종자산/사전 ADV로 정규화할 수 있지만 실제 주문량과 구별한다. 옵션 노출은 계약수·승수·델타·베가·롤을 분리한다. 공표일만 있고 시각이 없으면 당일 장중 피처로 쓰지 않는다. 추정 대상은 사건 전후 기초자산 RV, 동일 특성 옵션 IV, 스프레드 bp·depth·복구시간이며 옵션 가격 자체의 RV와 별도로 다룬다.</w:t>
      </w:r>
    </w:p>
    <w:p>
      <w:r>
        <w:rPr>
          <w:rFonts w:ascii="Malgun Gothic" w:hAnsi="Malgun Gothic" w:eastAsia="Malgun Gothic"/>
          <w:b w:val="0"/>
        </w:rPr>
        <w:t>처리군은 사전에 정해진 노출변경이 큰 단위, 대조군은 같은 시장·잔존시간·기존 유동성에서 노출이 작은 단위로 구성한다. 사전추세·발표 전 거래·실적·배당·동시만기를 검토하고, 사건과 만기가 항상 겹치면 두 더미를 넣는 것만으로 분리되지 않으므로 공동 사건 효과로 낮춰 해석한다. 방향을 아는 예상 흐름에 대한 후행 mid 이동은 bp 가격압력 지표지만 체결자료 없이는 실제 실행비용이 아니다. 비교군에도 헤지 파급이 생길 수 있으며 위약 사건·선행 추세·개별 사건 제거로 결론이 무너지는지 평가한다. 현재 기관·사모펀드의 목표/실제 포지션과 사건 이력이 없어 원 H8은 보류한다.</w:t>
      </w:r>
    </w:p>
    <w:p>
      <w:pPr>
        <w:pStyle w:val="Heading2"/>
      </w:pPr>
      <w:r>
        <w:rPr>
          <w:rFonts w:ascii="Malgun Gothic" w:hAnsi="Malgun Gothic" w:eastAsia="Malgun Gothic"/>
          <w:b w:val="0"/>
        </w:rPr>
        <w:t>NH 대안은 하나의 FLOW-PRED로 묶고 피처 제거 실험을 한다</w:t>
      </w:r>
    </w:p>
    <w:p>
      <w:r>
        <w:rPr>
          <w:rFonts w:ascii="Malgun Gothic" w:hAnsi="Malgun Gothic" w:eastAsia="Malgun Gothic"/>
          <w:b w:val="0"/>
        </w:rPr>
        <w:t xml:space="preserve">저장된 NH 명세의 </w:t>
      </w:r>
      <w:r>
        <w:rPr>
          <w:rFonts w:ascii="Malgun Gothic" w:hAnsi="Malgun Gothic" w:eastAsia="Malgun Gothic"/>
          <w:b w:val="0"/>
        </w:rPr>
        <w:t>trend-investor</w:t>
      </w:r>
      <w:r>
        <w:rPr>
          <w:rFonts w:ascii="Malgun Gothic" w:hAnsi="Malgun Gothic" w:eastAsia="Malgun Gothic"/>
          <w:b w:val="0"/>
        </w:rPr>
        <w:t xml:space="preserve"> 입력은 품목·조회일·수량/금액 구분이며 계약·만기·행사가 필터가 없다. </w:t>
      </w:r>
      <w:r>
        <w:rPr>
          <w:rFonts w:ascii="Malgun Gothic" w:hAnsi="Malgun Gothic" w:eastAsia="Malgun Gothic"/>
          <w:b/>
        </w:rPr>
        <w:t>30초 지연·야간 미지원</w:t>
      </w:r>
      <w:r>
        <w:rPr>
          <w:rFonts w:ascii="Malgun Gothic" w:hAnsi="Malgun Gothic" w:eastAsia="Malgun Gothic"/>
          <w:b w:val="0"/>
        </w:rPr>
        <w:t>이 문서에 적혀 있고 출력은 개인·외국인·투신 등 집계군 매매다. 이는 커버드콜 공급, 개별 소유자 보유, 리밸런싱 사유를 관측한 자료가 아니다. 이번 검토는 보존 명세를 읽었으며 최신 계정 응답·단위·실제 집계 범위나 지연을 호출 검증하지 않았다. (</w:t>
      </w:r>
      <w:hyperlink r:id="rId34">
        <w:r>
          <w:rPr>
            <w:rFonts w:ascii="Malgun Gothic" w:hAnsi="Malgun Gothic" w:eastAsia="Malgun Gothic"/>
            <w:color w:val="185A8A"/>
            <w:u w:val="single"/>
          </w:rPr>
          <w:t>NH 투자자 동향 명세</w:t>
        </w:r>
      </w:hyperlink>
      <w:r>
        <w:rPr>
          <w:rFonts w:ascii="Malgun Gothic" w:hAnsi="Malgun Gothic" w:eastAsia="Malgun Gothic"/>
          <w:b w:val="0"/>
        </w:rPr>
        <w:t>)</w:t>
      </w:r>
    </w:p>
    <w:p>
      <w:r>
        <w:rPr>
          <w:rFonts w:ascii="Malgun Gothic" w:hAnsi="Malgun Gothic" w:eastAsia="Malgun Gothic"/>
          <w:b w:val="0"/>
        </w:rPr>
        <w:t xml:space="preserve">따라서 NH 대안의 공통 질문은 “기존 RV·수익률·거래량·스프레드·시각·실제 만기를 넘어 당시 수신한 집계 흐름이 이후 위험을 예측하는가”다. 동일 라벨·동일 날짜에서 기준 → 흐름 추가 → 집중도 추가 → 상호작용 추가를 비교하고 H3·H7·H8의 독립된 세 번의 성공으로 세지 않는다. 금액 단위가 프리미엄 거래대금이면 기초자산 명목 노출이나 베가로 바꾸지 않는다. </w:t>
      </w:r>
      <w:r>
        <w:rPr>
          <w:rFonts w:ascii="Malgun Gothic" w:hAnsi="Malgun Gothic" w:eastAsia="Malgun Gothic"/>
          <w:b w:val="0"/>
        </w:rPr>
        <w:t>tm</w:t>
      </w:r>
      <w:r>
        <w:rPr>
          <w:rFonts w:ascii="Malgun Gothic" w:hAnsi="Malgun Gothic" w:eastAsia="Malgun Gothic"/>
          <w:b w:val="0"/>
        </w:rPr>
        <w:t>과 로컬 수신시각을 분리하고 누적값 리셋·정정·야간 결측을 0 거래로 만들지 않는다. 품목 집계값을 여러 계약에 복제해도 독립 수급 정보는 늘지 않는다. 전체군 합계 대사와 단위 검사가 실패하면 모형도 중단하며, 정보 도착 전 예측력이 높으면 경제적 신호보다 누수를 먼저 의심한다.</w:t>
      </w:r>
    </w:p>
    <w:p>
      <w:pPr>
        <w:pStyle w:val="Heading1"/>
      </w:pPr>
      <w:r>
        <w:rPr>
          <w:rFonts w:ascii="Malgun Gothic" w:hAnsi="Malgun Gothic" w:eastAsia="Malgun Gothic"/>
          <w:b w:val="0"/>
        </w:rPr>
        <w:t>4 만기 OI 호가는 실제 시간과 완결된 미래 라벨에서 검증한다</w:t>
      </w:r>
    </w:p>
    <w:p>
      <w:pPr>
        <w:pStyle w:val="Heading2"/>
      </w:pPr>
      <w:r>
        <w:rPr>
          <w:rFonts w:ascii="Malgun Gothic" w:hAnsi="Malgun Gothic" w:eastAsia="Malgun Gothic"/>
          <w:b w:val="0"/>
        </w:rPr>
        <w:t>H5 목요일 효과를 실제 만기 효과로 바꾼다</w:t>
      </w:r>
    </w:p>
    <w:p>
      <w:r>
        <w:rPr>
          <w:rFonts w:ascii="Malgun Gothic" w:hAnsi="Malgun Gothic" w:eastAsia="Malgun Gothic"/>
          <w:b w:val="0"/>
        </w:rPr>
        <w:t xml:space="preserve">H5는 실제 만기 전·당·후의 서술적 패턴, 만기 일정의 추가 예측력, 헤지 수요의 인과효과를 나눠야 한다. 원본 H5/H6 코드는 목요일·수요일·금요일 더미로 변동성 상승을 생성했고 실제 휴장일 대신 일반 영업일 달력을 사용했다. </w:t>
      </w:r>
      <w:r>
        <w:rPr>
          <w:rFonts w:ascii="Malgun Gothic" w:hAnsi="Malgun Gothic" w:eastAsia="Malgun Gothic"/>
          <w:b w:val="0"/>
        </w:rPr>
        <w:t>abs(daily_return)×sqrt(252)</w:t>
      </w:r>
      <w:r>
        <w:rPr>
          <w:rFonts w:ascii="Malgun Gothic" w:hAnsi="Malgun Gothic" w:eastAsia="Malgun Gothic"/>
          <w:b w:val="0"/>
        </w:rPr>
        <w:t>도 일별 절대수익률의 연율화 대용치이며 고빈도 수익률 제곱합 RV가 아니다. 따라서 합성 OLS 결과를 만기 효과 실증으로 가져오지 않는다. 현재 저장소의 자료 처리 함수와 과거 합성 원본은 별개의 구현이므로 이 원본의 문제를 현재 코드 전체에 그대로 적용하지도 않는다. (</w:t>
      </w:r>
      <w:hyperlink r:id="rId12">
        <w:r>
          <w:rPr>
            <w:rFonts w:ascii="Malgun Gothic" w:hAnsi="Malgun Gothic" w:eastAsia="Malgun Gothic"/>
            <w:color w:val="185A8A"/>
            <w:u w:val="single"/>
          </w:rPr>
          <w:t>원본 및 현재 구현 검토</w:t>
        </w:r>
      </w:hyperlink>
      <w:r>
        <w:rPr>
          <w:rFonts w:ascii="Malgun Gothic" w:hAnsi="Malgun Gothic" w:eastAsia="Malgun Gothic"/>
          <w:b w:val="0"/>
        </w:rPr>
        <w:t>)</w:t>
      </w:r>
    </w:p>
    <w:p>
      <w:r>
        <w:rPr>
          <w:rFonts w:ascii="Malgun Gothic" w:hAnsi="Malgun Gothic" w:eastAsia="Malgun Gothic"/>
          <w:b w:val="0"/>
        </w:rPr>
        <w:t xml:space="preserve">권장 관측 단위는 </w:t>
      </w:r>
      <w:r>
        <w:rPr>
          <w:rFonts w:ascii="Malgun Gothic" w:hAnsi="Malgun Gothic" w:eastAsia="Malgun Gothic"/>
          <w:b w:val="0"/>
        </w:rPr>
        <w:t>underlying×거래세션일</w:t>
      </w:r>
      <w:r>
        <w:rPr>
          <w:rFonts w:ascii="Malgun Gothic" w:hAnsi="Malgun Gothic" w:eastAsia="Malgun Gothic"/>
          <w:b w:val="0"/>
        </w:rPr>
        <w:t xml:space="preserve">, 장중 보조 단위는 </w:t>
      </w:r>
      <w:r>
        <w:rPr>
          <w:rFonts w:ascii="Malgun Gothic" w:hAnsi="Malgun Gothic" w:eastAsia="Malgun Gothic"/>
          <w:b w:val="0"/>
        </w:rPr>
        <w:t>underlying×세션일×고정 시간구간</w:t>
      </w:r>
      <w:r>
        <w:rPr>
          <w:rFonts w:ascii="Malgun Gothic" w:hAnsi="Malgun Gothic" w:eastAsia="Malgun Gothic"/>
          <w:b w:val="0"/>
        </w:rPr>
        <w:t xml:space="preserve">이다. 주 결과는 완전 세션 </w:t>
      </w:r>
      <w:r>
        <w:rPr>
          <w:rFonts w:ascii="Malgun Gothic" w:hAnsi="Malgun Gothic" w:eastAsia="Malgun Gothic"/>
          <w:b w:val="0"/>
        </w:rPr>
        <w:t>RV=Σr²</w:t>
      </w:r>
      <w:r>
        <w:rPr>
          <w:rFonts w:ascii="Malgun Gothic" w:hAnsi="Malgun Gothic" w:eastAsia="Malgun Gothic"/>
          <w:b w:val="0"/>
        </w:rPr>
        <w:t>, 장 마감 전 30분 RV는 별도 결과다. 현물과 선물 대용, 정규장과 야간을 나누고 자정을 넘는 세션을 거래일에 올바르게 연결한다. 현재 RV 구현에는 5분 구간의 관측 수 검사와 비보간 원칙이 있으나 세션 전체 커버리지·거래중단·거래달력까지 완성됐다는 뜻은 아니다. 체결 부재와 통신 결측을 동일한 0 수익률로 채우지 않는다.</w:t>
      </w:r>
    </w:p>
    <w:p>
      <w:r>
        <w:rPr>
          <w:rFonts w:ascii="Malgun Gothic" w:hAnsi="Malgun Gothic" w:eastAsia="Malgun Gothic"/>
          <w:b w:val="0"/>
        </w:rPr>
        <w:t xml:space="preserve">설명적 추정식은 </w:t>
      </w:r>
      <w:r>
        <w:rPr>
          <w:rFonts w:ascii="Malgun Gothic" w:hAnsi="Malgun Gothic" w:eastAsia="Malgun Gothic"/>
          <w:b w:val="0"/>
        </w:rPr>
        <w:t>log RV=α+δ만기+β전일+γ익일+요일+과거RV+통제</w:t>
      </w:r>
      <w:r>
        <w:rPr>
          <w:rFonts w:ascii="Malgun Gothic" w:hAnsi="Malgun Gothic" w:eastAsia="Malgun Gothic"/>
          <w:b w:val="0"/>
        </w:rPr>
        <w:t xml:space="preserve">다. 실제 만기 캘린더를 </w:t>
      </w:r>
      <w:r>
        <w:rPr>
          <w:rFonts w:ascii="Malgun Gothic" w:hAnsi="Malgun Gothic" w:eastAsia="Malgun Gothic"/>
          <w:b/>
        </w:rPr>
        <w:t>모든 역사 거래일</w:t>
      </w:r>
      <w:r>
        <w:rPr>
          <w:rFonts w:ascii="Malgun Gothic" w:hAnsi="Malgun Gothic" w:eastAsia="Malgun Gothic"/>
          <w:b w:val="0"/>
        </w:rPr>
        <w:t xml:space="preserve">에 결합하고 </w:t>
      </w:r>
      <w:r>
        <w:rPr>
          <w:rFonts w:ascii="Malgun Gothic" w:hAnsi="Malgun Gothic" w:eastAsia="Malgun Gothic"/>
          <w:b w:val="0"/>
        </w:rPr>
        <w:t>요일×만기</w:t>
      </w:r>
      <w:r>
        <w:rPr>
          <w:rFonts w:ascii="Malgun Gothic" w:hAnsi="Malgun Gothic" w:eastAsia="Malgun Gothic"/>
          <w:b w:val="0"/>
        </w:rPr>
        <w:t xml:space="preserve"> 교차표와 rank를 먼저 확인한다. 같은 요일에 항상 만기가 있는 기간만 쓰면 둘은 여전히 분리되지 않는다. 같은 요일 비만기 관측이 생기는 제도기간·적절한 비교시장 등 추가 변이가 없으면 달력의 예측 가치까지만 보고한다. 휴일로 이동한 만기를 자동으로 외생 도구변수로 쓰는 것도 부적절하다. 휴일 효과와 동시 제도변경을 함께 검토해야 한다.</w:t>
      </w:r>
    </w:p>
    <w:p>
      <w:r>
        <w:rPr>
          <w:rFonts w:ascii="Malgun Gothic" w:hAnsi="Malgun Gothic" w:eastAsia="Malgun Gothic"/>
          <w:b w:val="0"/>
        </w:rPr>
        <w:t>주 비교는 같은 요일 대조, HAR 대 HAR+만기·잔존시간이며 월물 동시만기 포함/제외, 위약 날짜, 커버리지 민감도, 지수별 결과를 병기한다. 월·목의 전후 창이 겹치면 복수 사건 소속을 기록한다. 큰 감마가 모든 계약에서 변동성을 높인다는 결론은 signed 포지션·실제 헤지 거래 없이는 낼 수 없다. 현재 완료 사건·가격·대조 관측이 없으므로 H5 계수는 미추정이다. 현재 rank 결손을 해결할 역사 비교구조를 확보하는 것이 가격을 붙이는 일만큼 중요하다.</w:t>
      </w:r>
    </w:p>
    <w:p>
      <w:pPr>
        <w:pStyle w:val="Heading2"/>
      </w:pPr>
      <w:r>
        <w:rPr>
          <w:rFonts w:ascii="Malgun Gothic" w:hAnsi="Malgun Gothic" w:eastAsia="Malgun Gothic"/>
          <w:b w:val="0"/>
        </w:rPr>
        <w:t>H6 OI 증가와 OI 변화의 크기를 서로 다른 피처로 시험한다</w:t>
      </w:r>
    </w:p>
    <w:p>
      <w:r>
        <w:rPr>
          <w:rFonts w:ascii="Malgun Gothic" w:hAnsi="Malgun Gothic" w:eastAsia="Malgun Gothic"/>
          <w:b w:val="0"/>
        </w:rPr>
        <w:t xml:space="preserve">OI는 미청산 계약 잔량이고 거래량은 거래된 수량이다. OI 변화 분위수를 체결 빈도로 이름 붙일 수 없고 OI 증가를 시장의 순롱으로 볼 수도 없다. 원본은 당기분모 변화율과 절댓값에 양의 미래 변동성을 주입했으므로 부호 있는 증가율 가설을 검증하지 않았다. </w:t>
      </w:r>
      <w:r>
        <w:rPr>
          <w:rFonts w:ascii="Malgun Gothic" w:hAnsi="Malgun Gothic" w:eastAsia="Malgun Gothic"/>
          <w:b/>
        </w:rPr>
        <w:t>현재 `analysis.oi_change`는 전기분모·전기 0의 결측 처리·음수 거부를 이미 구현한다.</w:t>
      </w:r>
      <w:r>
        <w:rPr>
          <w:rFonts w:ascii="Malgun Gothic" w:hAnsi="Malgun Gothic" w:eastAsia="Malgun Gothic"/>
          <w:b w:val="0"/>
        </w:rPr>
        <w:t xml:space="preserve"> 남은 과제는 올바른 함수가 실제 시각·동일 계약 범위·미래 라벨과 연결되도록 하는 일이다. (</w:t>
      </w:r>
      <w:hyperlink r:id="rId35">
        <w:r>
          <w:rPr>
            <w:rFonts w:ascii="Malgun Gothic" w:hAnsi="Malgun Gothic" w:eastAsia="Malgun Gothic"/>
            <w:color w:val="185A8A"/>
            <w:u w:val="single"/>
          </w:rPr>
          <w:t>OI 정의</w:t>
        </w:r>
      </w:hyperlink>
      <w:r>
        <w:rPr>
          <w:rFonts w:ascii="Malgun Gothic" w:hAnsi="Malgun Gothic" w:eastAsia="Malgun Gothic"/>
          <w:b w:val="0"/>
        </w:rPr>
        <w:t xml:space="preserve">, </w:t>
      </w:r>
      <w:hyperlink r:id="rId12">
        <w:r>
          <w:rPr>
            <w:rFonts w:ascii="Malgun Gothic" w:hAnsi="Malgun Gothic" w:eastAsia="Malgun Gothic"/>
            <w:color w:val="185A8A"/>
            <w:u w:val="single"/>
          </w:rPr>
          <w:t>구현 대조 노트</w:t>
        </w:r>
      </w:hyperlink>
      <w:r>
        <w:rPr>
          <w:rFonts w:ascii="Malgun Gothic" w:hAnsi="Malgun Gothic" w:eastAsia="Malgun Gothic"/>
          <w:b w:val="0"/>
        </w:rPr>
        <w:t>)</w:t>
      </w:r>
    </w:p>
    <w:p>
      <w:r>
        <w:rPr>
          <w:rFonts w:ascii="Malgun Gothic" w:hAnsi="Malgun Gothic" w:eastAsia="Malgun Gothic"/>
          <w:b w:val="0"/>
        </w:rPr>
        <w:t xml:space="preserve">제안하는 부호 있는 주간 변화는 </w:t>
      </w:r>
      <w:r>
        <w:rPr>
          <w:rFonts w:ascii="Malgun Gothic" w:hAnsi="Malgun Gothic" w:eastAsia="Malgun Gothic"/>
          <w:b w:val="0"/>
        </w:rPr>
        <w:t>x_t=(OI_t−OI_{t−5})/OI_{t−5}</w:t>
      </w:r>
      <w:r>
        <w:rPr>
          <w:rFonts w:ascii="Malgun Gothic" w:hAnsi="Malgun Gothic" w:eastAsia="Malgun Gothic"/>
          <w:b w:val="0"/>
        </w:rPr>
        <w:t xml:space="preserve">, 분모가 양수일 때만 계산한다. </w:t>
      </w:r>
      <w:r>
        <w:rPr>
          <w:rFonts w:ascii="Malgun Gothic" w:hAnsi="Malgun Gothic" w:eastAsia="Malgun Gothic"/>
          <w:b w:val="0"/>
        </w:rPr>
        <w:t>abs(x_t)</w:t>
      </w:r>
      <w:r>
        <w:rPr>
          <w:rFonts w:ascii="Malgun Gothic" w:hAnsi="Malgun Gothic" w:eastAsia="Malgun Gothic"/>
          <w:b w:val="0"/>
        </w:rPr>
        <w:t xml:space="preserve">는 증가·감소 모두의 활동 강도, 양·음 부분은 비대칭, </w:t>
      </w:r>
      <w:r>
        <w:rPr>
          <w:rFonts w:ascii="Malgun Gothic" w:hAnsi="Malgun Gothic" w:eastAsia="Malgun Gothic"/>
          <w:b w:val="0"/>
        </w:rPr>
        <w:t>Δlog(1+OI)</w:t>
      </w:r>
      <w:r>
        <w:rPr>
          <w:rFonts w:ascii="Malgun Gothic" w:hAnsi="Malgun Gothic" w:eastAsia="Malgun Gothic"/>
          <w:b w:val="0"/>
        </w:rPr>
        <w:t>는 별도 척도다. 계약별 비율을 단순 평균하지 말고 동일 범위 OI를 먼저 합한 뒤 비율을 계산한다. 양 시점에 존재하는 계약의 변화와 신규 상장·만기 소멸을 분해하고 total OI·coverage·DTE를 같이 보관한다. 생존 계약만 쓰면 전체 수요를 대표하지 않으며 API 미반환을 미상장 당시의 구조적 0으로 간주해서도 안 된다.</w:t>
      </w:r>
    </w:p>
    <w:p>
      <w:r>
        <w:rPr>
          <w:rFonts w:ascii="Malgun Gothic" w:hAnsi="Malgun Gothic" w:eastAsia="Malgun Gothic"/>
          <w:b w:val="0"/>
        </w:rPr>
        <w:t xml:space="preserve">의사결정 시각은 실제 KST 시각으로 고정하고 관측·공표·수신·정정 시각을 저장한다. EOD 확정 OI가 뒤늦게 공표되면 해당 시각 전 예측에 사용할 수 없다. NH 명세에 </w:t>
      </w:r>
      <w:r>
        <w:rPr>
          <w:rFonts w:ascii="Malgun Gothic" w:hAnsi="Malgun Gothic" w:eastAsia="Malgun Gothic"/>
          <w:b w:val="0"/>
        </w:rPr>
        <w:t>opint</w:t>
      </w:r>
      <w:r>
        <w:rPr>
          <w:rFonts w:ascii="Malgun Gothic" w:hAnsi="Malgun Gothic" w:eastAsia="Malgun Gothic"/>
          <w:b w:val="0"/>
        </w:rPr>
        <w:t>·</w:t>
      </w:r>
      <w:r>
        <w:rPr>
          <w:rFonts w:ascii="Malgun Gothic" w:hAnsi="Malgun Gothic" w:eastAsia="Malgun Gothic"/>
          <w:b w:val="0"/>
        </w:rPr>
        <w:t>pd_opint</w:t>
      </w:r>
      <w:r>
        <w:rPr>
          <w:rFonts w:ascii="Malgun Gothic" w:hAnsi="Malgun Gothic" w:eastAsia="Malgun Gothic"/>
          <w:b w:val="0"/>
        </w:rPr>
        <w:t>가 있다는 사실만으로 이 시점이 확정되지는 않는다. 현재 해당 필드와 미래 RV의 유효 관측은 0이다. 공표 지연을 확인하지 못하면 지연 민감도와 제한을 명시하고, 임의로 전일 값으로 바꿔 문제가 해결됐다고 하지 않는다. (</w:t>
      </w:r>
      <w:hyperlink r:id="rId36">
        <w:r>
          <w:rPr>
            <w:rFonts w:ascii="Malgun Gothic" w:hAnsi="Malgun Gothic" w:eastAsia="Malgun Gothic"/>
            <w:color w:val="185A8A"/>
            <w:u w:val="single"/>
          </w:rPr>
          <w:t>NH 가격 명세</w:t>
        </w:r>
      </w:hyperlink>
      <w:r>
        <w:rPr>
          <w:rFonts w:ascii="Malgun Gothic" w:hAnsi="Malgun Gothic" w:eastAsia="Malgun Gothic"/>
          <w:b w:val="0"/>
        </w:rPr>
        <w:t xml:space="preserve">, </w:t>
      </w:r>
      <w:hyperlink r:id="rId13">
        <w:r>
          <w:rPr>
            <w:rFonts w:ascii="Malgun Gothic" w:hAnsi="Malgun Gothic" w:eastAsia="Malgun Gothic"/>
            <w:color w:val="185A8A"/>
            <w:u w:val="single"/>
          </w:rPr>
          <w:t>저장자료 진단</w:t>
        </w:r>
      </w:hyperlink>
      <w:r>
        <w:rPr>
          <w:rFonts w:ascii="Malgun Gothic" w:hAnsi="Malgun Gothic" w:eastAsia="Malgun Gothic"/>
          <w:b w:val="0"/>
        </w:rPr>
        <w:t>)</w:t>
      </w:r>
    </w:p>
    <w:p>
      <w:r>
        <w:rPr>
          <w:rFonts w:ascii="Malgun Gothic" w:hAnsi="Malgun Gothic" w:eastAsia="Malgun Gothic"/>
          <w:b w:val="0"/>
        </w:rPr>
        <w:t xml:space="preserve">H6의 주 타깃은 제안상 </w:t>
      </w:r>
      <w:r>
        <w:rPr>
          <w:rFonts w:ascii="Malgun Gothic" w:hAnsi="Malgun Gothic" w:eastAsia="Malgun Gothic"/>
          <w:b w:val="0"/>
        </w:rPr>
        <w:t>forward_mean_RV_5d=(RV_{t+1}+…+RV_{t+5})/5</w:t>
      </w:r>
      <w:r>
        <w:rPr>
          <w:rFonts w:ascii="Malgun Gothic" w:hAnsi="Malgun Gothic" w:eastAsia="Malgun Gothic"/>
          <w:b w:val="0"/>
        </w:rPr>
        <w:t xml:space="preserve">, 누적은 </w:t>
      </w:r>
      <w:r>
        <w:rPr>
          <w:rFonts w:ascii="Malgun Gothic" w:hAnsi="Malgun Gothic" w:eastAsia="Malgun Gothic"/>
          <w:b w:val="0"/>
        </w:rPr>
        <w:t>forward_sum_RV_5d</w:t>
      </w:r>
      <w:r>
        <w:rPr>
          <w:rFonts w:ascii="Malgun Gothic" w:hAnsi="Malgun Gothic" w:eastAsia="Malgun Gothic"/>
          <w:b w:val="0"/>
        </w:rPr>
        <w:t xml:space="preserve">로 따로 등록한다. 현재 </w:t>
      </w:r>
      <w:r>
        <w:rPr>
          <w:rFonts w:ascii="Malgun Gothic" w:hAnsi="Malgun Gothic" w:eastAsia="Malgun Gothic"/>
          <w:b w:val="0"/>
        </w:rPr>
        <w:t>forward_mean</w:t>
      </w:r>
      <w:r>
        <w:rPr>
          <w:rFonts w:ascii="Malgun Gothic" w:hAnsi="Malgun Gothic" w:eastAsia="Malgun Gothic"/>
          <w:b w:val="0"/>
        </w:rPr>
        <w:t xml:space="preserve">은 평균을, 계약사전의 </w:t>
      </w:r>
      <w:r>
        <w:rPr>
          <w:rFonts w:ascii="Malgun Gothic" w:hAnsi="Malgun Gothic" w:eastAsia="Malgun Gothic"/>
          <w:b w:val="0"/>
        </w:rPr>
        <w:t>rv_forward_5d</w:t>
      </w:r>
      <w:r>
        <w:rPr>
          <w:rFonts w:ascii="Malgun Gothic" w:hAnsi="Malgun Gothic" w:eastAsia="Malgun Gothic"/>
          <w:b w:val="0"/>
        </w:rPr>
        <w:t xml:space="preserve"> 설명은 누적을 가리키므로 같은 이름의 정답으로 연결하면 안 된다. 마지막 5거래일의 라벨은 미완결이지 0이 아니다. 휴장이나 결측 세션을 달력 5일로 대체하지 않고 </w:t>
      </w:r>
      <w:r>
        <w:rPr>
          <w:rFonts w:ascii="Malgun Gothic" w:hAnsi="Malgun Gothic" w:eastAsia="Malgun Gothic"/>
          <w:b w:val="0"/>
        </w:rPr>
        <w:t>label_start_at</w:t>
      </w:r>
      <w:r>
        <w:rPr>
          <w:rFonts w:ascii="Malgun Gothic" w:hAnsi="Malgun Gothic" w:eastAsia="Malgun Gothic"/>
          <w:b w:val="0"/>
        </w:rPr>
        <w:t xml:space="preserve">, </w:t>
      </w:r>
      <w:r>
        <w:rPr>
          <w:rFonts w:ascii="Malgun Gothic" w:hAnsi="Malgun Gothic" w:eastAsia="Malgun Gothic"/>
          <w:b w:val="0"/>
        </w:rPr>
        <w:t>label_end_at</w:t>
      </w:r>
      <w:r>
        <w:rPr>
          <w:rFonts w:ascii="Malgun Gothic" w:hAnsi="Malgun Gothic" w:eastAsia="Malgun Gothic"/>
          <w:b w:val="0"/>
        </w:rPr>
        <w:t>, 완성 세션 수를 남긴다.</w:t>
      </w:r>
    </w:p>
    <w:p>
      <w:r>
        <w:rPr>
          <w:rFonts w:ascii="Malgun Gothic" w:hAnsi="Malgun Gothic" w:eastAsia="Malgun Gothic"/>
          <w:b w:val="0"/>
        </w:rPr>
        <w:t xml:space="preserve">HAR은 과거 일·주·월 성분을 사용하는 간결한 기준이다. 같은 라벨과 외부 테스트에서 persistence → HAR → HAR+달력 → HAR+달력+OI 피처군을 비교하고, IV를 쓰면 HAR+IV 대 HAR+IV+OI도 비교한다. 추정 대상은 OI 추가 전후 날짜별 손실차의 평균과 불확실성이다. 양수 분산 예측 </w:t>
      </w:r>
      <w:r>
        <w:rPr>
          <w:rFonts w:ascii="Malgun Gothic" w:hAnsi="Malgun Gothic" w:eastAsia="Malgun Gothic"/>
          <w:b w:val="0"/>
        </w:rPr>
        <w:t>f</w:t>
      </w:r>
      <w:r>
        <w:rPr>
          <w:rFonts w:ascii="Malgun Gothic" w:hAnsi="Malgun Gothic" w:eastAsia="Malgun Gothic"/>
          <w:b w:val="0"/>
        </w:rPr>
        <w:t xml:space="preserve">에는 QLIKE </w:t>
      </w:r>
      <w:r>
        <w:rPr>
          <w:rFonts w:ascii="Malgun Gothic" w:hAnsi="Malgun Gothic" w:eastAsia="Malgun Gothic"/>
          <w:b w:val="0"/>
        </w:rPr>
        <w:t>log(f)+y/f</w:t>
      </w:r>
      <w:r>
        <w:rPr>
          <w:rFonts w:ascii="Malgun Gothic" w:hAnsi="Malgun Gothic" w:eastAsia="Malgun Gothic"/>
          <w:b w:val="0"/>
        </w:rPr>
        <w:t xml:space="preserve">를 주 지표로 제안하며 분산 단위 MAE와 log-RV 오차를 보조로 둔다. </w:t>
      </w:r>
      <w:r>
        <w:rPr>
          <w:rFonts w:ascii="Malgun Gothic" w:hAnsi="Malgun Gothic" w:eastAsia="Malgun Gothic"/>
          <w:b w:val="0"/>
        </w:rPr>
        <w:t>y=0</w:t>
      </w:r>
      <w:r>
        <w:rPr>
          <w:rFonts w:ascii="Malgun Gothic" w:hAnsi="Malgun Gothic" w:eastAsia="Malgun Gothic"/>
          <w:b w:val="0"/>
        </w:rPr>
        <w:t>에서도 이 비교 손실은 계산되지만 데이터 오류인 0을 정당화하지는 않는다. 불완전 대용변수에 대한 손실의 강건성도 조건부 결과이지 누락 세션을 면제하는 원칙이 아니다. (</w:t>
      </w:r>
      <w:hyperlink r:id="rId37">
        <w:r>
          <w:rPr>
            <w:rFonts w:ascii="Malgun Gothic" w:hAnsi="Malgun Gothic" w:eastAsia="Malgun Gothic"/>
            <w:color w:val="185A8A"/>
            <w:u w:val="single"/>
          </w:rPr>
          <w:t>HAR 원 논문</w:t>
        </w:r>
      </w:hyperlink>
      <w:r>
        <w:rPr>
          <w:rFonts w:ascii="Malgun Gothic" w:hAnsi="Malgun Gothic" w:eastAsia="Malgun Gothic"/>
          <w:b w:val="0"/>
        </w:rPr>
        <w:t xml:space="preserve">, </w:t>
      </w:r>
      <w:hyperlink r:id="rId38">
        <w:r>
          <w:rPr>
            <w:rFonts w:ascii="Malgun Gothic" w:hAnsi="Malgun Gothic" w:eastAsia="Malgun Gothic"/>
            <w:color w:val="185A8A"/>
            <w:u w:val="single"/>
          </w:rPr>
          <w:t>분산 대용변수와 손실 비교</w:t>
        </w:r>
      </w:hyperlink>
      <w:r>
        <w:rPr>
          <w:rFonts w:ascii="Malgun Gothic" w:hAnsi="Malgun Gothic" w:eastAsia="Malgun Gothic"/>
          <w:b w:val="0"/>
        </w:rPr>
        <w:t>)</w:t>
      </w:r>
    </w:p>
    <w:p>
      <w:r>
        <w:rPr>
          <w:rFonts w:ascii="Malgun Gothic" w:hAnsi="Malgun Gothic" w:eastAsia="Malgun Gothic"/>
          <w:b w:val="0"/>
        </w:rPr>
        <w:t>개선이 롤·상장 범위·공표 지연을 바로잡은 뒤 사라지거나 특정 날짜에만 의존하면 채택하지 않는다. 현재 OI·가격 이력이 없어 실측 H6는 대기이며, 양의 상관을 찾지 못해도 결과를 보존해야 한다. 예측력이 존재하더라도 변동성 기대가 OI를 바꾸거나 공통 뉴스가 둘을 움직일 수 있으므로 OI를 늘리는 개입의 인과효과로 해석하지 않는다.</w:t>
      </w:r>
    </w:p>
    <w:p>
      <w:pPr>
        <w:pStyle w:val="Heading2"/>
      </w:pPr>
      <w:r>
        <w:rPr>
          <w:rFonts w:ascii="Malgun Gothic" w:hAnsi="Malgun Gothic" w:eastAsia="Malgun Gothic"/>
          <w:b w:val="0"/>
        </w:rPr>
        <w:t>H9 실제 RFQ 없이 요청 방향이나 포지션을 검증할 수 없다</w:t>
      </w:r>
    </w:p>
    <w:p>
      <w:r>
        <w:rPr>
          <w:rFonts w:ascii="Malgun Gothic" w:hAnsi="Malgun Gothic" w:eastAsia="Malgun Gothic"/>
          <w:b w:val="0"/>
        </w:rPr>
        <w:t>보존 NH 카탈로그 49개 항목의 RFQ 문자열 검색 결과는 0개다. 공개 호가 명세에는 호가시각·가격·잔량이 있지만 RFQ 요청 ID·요청방향·딜러 응답 로그를 확인한 것은 아니다. 이 진단은 모든 NH 서비스가 RFQ를 영구히 제공하지 않는다는 증명도 아니다. 원 H9를 유지하려면 요청·응답·취소·유효기간·체결·수량의 시각별 로그와 방향 정답, 공개호가 대조자료가 필요하다. 투자자 포지션 정답 없이 미래 가격 부호를 롱·숏 포지션 정답이라 부를 수 없다. (</w:t>
      </w:r>
      <w:hyperlink r:id="rId13">
        <w:r>
          <w:rPr>
            <w:rFonts w:ascii="Malgun Gothic" w:hAnsi="Malgun Gothic" w:eastAsia="Malgun Gothic"/>
            <w:color w:val="185A8A"/>
            <w:u w:val="single"/>
          </w:rPr>
          <w:t>진단 JSON</w:t>
        </w:r>
      </w:hyperlink>
      <w:r>
        <w:rPr>
          <w:rFonts w:ascii="Malgun Gothic" w:hAnsi="Malgun Gothic" w:eastAsia="Malgun Gothic"/>
          <w:b w:val="0"/>
        </w:rPr>
        <w:t xml:space="preserve">, </w:t>
      </w:r>
      <w:hyperlink r:id="rId39">
        <w:r>
          <w:rPr>
            <w:rFonts w:ascii="Malgun Gothic" w:hAnsi="Malgun Gothic" w:eastAsia="Malgun Gothic"/>
            <w:color w:val="185A8A"/>
            <w:u w:val="single"/>
          </w:rPr>
          <w:t>NH 공개 호가 명세</w:t>
        </w:r>
      </w:hyperlink>
      <w:r>
        <w:rPr>
          <w:rFonts w:ascii="Malgun Gothic" w:hAnsi="Malgun Gothic" w:eastAsia="Malgun Gothic"/>
          <w:b w:val="0"/>
        </w:rPr>
        <w:t>)</w:t>
      </w:r>
    </w:p>
    <w:p>
      <w:r>
        <w:rPr>
          <w:rFonts w:ascii="Malgun Gothic" w:hAnsi="Malgun Gothic" w:eastAsia="Malgun Gothic"/>
          <w:b w:val="0"/>
        </w:rPr>
        <w:t xml:space="preserve">별도의 결정적 오류는 원본 라벨 정렬에서 확인됐다. </w:t>
      </w:r>
      <w:r>
        <w:rPr>
          <w:rFonts w:ascii="Malgun Gothic" w:hAnsi="Malgun Gothic" w:eastAsia="Malgun Gothic"/>
          <w:b w:val="0"/>
        </w:rPr>
        <w:t>shift(-3).rolling(5).mean().shift(-5)</w:t>
      </w:r>
      <w:r>
        <w:rPr>
          <w:rFonts w:ascii="Malgun Gothic" w:hAnsi="Malgun Gothic" w:eastAsia="Malgun Gothic"/>
          <w:b w:val="0"/>
        </w:rPr>
        <w:t xml:space="preserve">를 정수 인덱스 마커로 검사하면 t의 정답은 </w:t>
      </w:r>
      <w:r>
        <w:rPr>
          <w:rFonts w:ascii="Malgun Gothic" w:hAnsi="Malgun Gothic" w:eastAsia="Malgun Gothic"/>
          <w:b/>
        </w:rPr>
        <w:t>t+4…t+8 평균</w:t>
      </w:r>
      <w:r>
        <w:rPr>
          <w:rFonts w:ascii="Malgun Gothic" w:hAnsi="Malgun Gothic" w:eastAsia="Malgun Gothic"/>
          <w:b w:val="0"/>
        </w:rPr>
        <w:t xml:space="preserve">이다. 길이 25에서 t=5의 마커 평균은 11이며, 마지막 8개 불완전 라벨은 비교 연산 뒤 클래스 0이 돼 </w:t>
      </w:r>
      <w:r>
        <w:rPr>
          <w:rFonts w:ascii="Malgun Gothic" w:hAnsi="Malgun Gothic" w:eastAsia="Malgun Gothic"/>
          <w:b w:val="0"/>
        </w:rPr>
        <w:t>dropna</w:t>
      </w:r>
      <w:r>
        <w:rPr>
          <w:rFonts w:ascii="Malgun Gothic" w:hAnsi="Malgun Gothic" w:eastAsia="Malgun Gothic"/>
          <w:b w:val="0"/>
        </w:rPr>
        <w:t xml:space="preserve">로 제거되지 않는다. 이는 가격이나 시장 성능이 아닌 </w:t>
      </w:r>
      <w:r>
        <w:rPr>
          <w:rFonts w:ascii="Malgun Gothic" w:hAnsi="Malgun Gothic" w:eastAsia="Malgun Gothic"/>
          <w:b/>
        </w:rPr>
        <w:t>인덱스 소프트웨어 검증</w:t>
      </w:r>
      <w:r>
        <w:rPr>
          <w:rFonts w:ascii="Malgun Gothic" w:hAnsi="Malgun Gothic" w:eastAsia="Malgun Gothic"/>
          <w:b w:val="0"/>
        </w:rPr>
        <w:t>이다. 원본 생성식에 RFQ 신호와 CQ 단절군의 더 낮은 잡음이 들어 있다는 사실도 그 군의 AUC 우위를 실증으로 해석할 수 없게 한다. 이 원본 오류와 현재 저장소의 수정된 미래창 계산 도구를 구분해야 한다. (</w:t>
      </w:r>
      <w:hyperlink r:id="rId13">
        <w:r>
          <w:rPr>
            <w:rFonts w:ascii="Malgun Gothic" w:hAnsi="Malgun Gothic" w:eastAsia="Malgun Gothic"/>
            <w:color w:val="185A8A"/>
            <w:u w:val="single"/>
          </w:rPr>
          <w:t>정렬 검증 결과</w:t>
        </w:r>
      </w:hyperlink>
      <w:r>
        <w:rPr>
          <w:rFonts w:ascii="Malgun Gothic" w:hAnsi="Malgun Gothic" w:eastAsia="Malgun Gothic"/>
          <w:b w:val="0"/>
        </w:rPr>
        <w:t xml:space="preserve">, </w:t>
      </w:r>
      <w:hyperlink r:id="rId12">
        <w:r>
          <w:rPr>
            <w:rFonts w:ascii="Malgun Gothic" w:hAnsi="Malgun Gothic" w:eastAsia="Malgun Gothic"/>
            <w:color w:val="185A8A"/>
            <w:u w:val="single"/>
          </w:rPr>
          <w:t>상세 코드 검토</w:t>
        </w:r>
      </w:hyperlink>
      <w:r>
        <w:rPr>
          <w:rFonts w:ascii="Malgun Gothic" w:hAnsi="Malgun Gothic" w:eastAsia="Malgun Gothic"/>
          <w:b w:val="0"/>
        </w:rPr>
        <w:t>)</w:t>
      </w:r>
    </w:p>
    <w:p>
      <w:r>
        <w:rPr>
          <w:rFonts w:ascii="Malgun Gothic" w:hAnsi="Malgun Gothic" w:eastAsia="Malgun Gothic"/>
          <w:b w:val="0"/>
        </w:rPr>
        <w:t xml:space="preserve">RFQ 자료가 확보되면 동일 날짜·상품에서 공개호가만, RFQ만, 둘 다를 비교한다. CQ 단절은 의사결정 시점에 이미 관측된 상태로 정의하고, 각 군의 </w:t>
      </w:r>
      <w:r>
        <w:rPr>
          <w:rFonts w:ascii="Malgun Gothic" w:hAnsi="Malgun Gothic" w:eastAsia="Malgun Gothic"/>
          <w:b w:val="0"/>
        </w:rPr>
        <w:t>loss(공개호가)−loss(공개호가+RFQ)</w:t>
      </w:r>
      <w:r>
        <w:rPr>
          <w:rFonts w:ascii="Malgun Gothic" w:hAnsi="Malgun Gothic" w:eastAsia="Malgun Gothic"/>
          <w:b w:val="0"/>
        </w:rPr>
        <w:t xml:space="preserve"> 차이를 추정한다. 단절군 AUC가 높다는 사실만으로 추가 정보가 더 크다고 결론내리지 않는다. 군별 발생률과 난도가 다르기 때문이다. 진행 중 요청의 미래 체결률·완료 응답시간을 입력하지 않으며 미응답 요청은 우측검열로 남긴다. 한 클래스만 있는 군의 AUC는 NA로 보고한다. 현재는 원시 RFQ와 포지션 정답이 없으므로 이 검정 자체가 불가능하다.</w:t>
      </w:r>
    </w:p>
    <w:p>
      <w:pPr>
        <w:pStyle w:val="Heading2"/>
      </w:pPr>
      <w:r>
        <w:rPr>
          <w:rFonts w:ascii="Malgun Gothic" w:hAnsi="Malgun Gothic" w:eastAsia="Malgun Gothic"/>
          <w:b w:val="0"/>
        </w:rPr>
        <w:t>H9b 공개 호가에서는 다음 5분의 유동성 스트레스를 예측한다</w:t>
      </w:r>
    </w:p>
    <w:p>
      <w:r>
        <w:rPr>
          <w:rFonts w:ascii="Malgun Gothic" w:hAnsi="Malgun Gothic" w:eastAsia="Malgun Gothic"/>
          <w:b w:val="0"/>
        </w:rPr>
        <w:t xml:space="preserve">H9b의 단위는 </w:t>
      </w:r>
      <w:r>
        <w:rPr>
          <w:rFonts w:ascii="Malgun Gothic" w:hAnsi="Malgun Gothic" w:eastAsia="Malgun Gothic"/>
          <w:b w:val="0"/>
        </w:rPr>
        <w:t>symbol×minute</w:t>
      </w:r>
      <w:r>
        <w:rPr>
          <w:rFonts w:ascii="Malgun Gothic" w:hAnsi="Malgun Gothic" w:eastAsia="Malgun Gothic"/>
          <w:b w:val="0"/>
        </w:rPr>
        <w:t xml:space="preserve">, 목표는 t에서 알려진 정보로 t+1…t+5분 내 스트레스 사건 확률을 예측하는 것이다. 입력은 </w:t>
      </w:r>
      <w:r>
        <w:rPr>
          <w:rFonts w:ascii="Malgun Gothic" w:hAnsi="Malgun Gothic" w:eastAsia="Malgun Gothic"/>
          <w:b w:val="0"/>
        </w:rPr>
        <w:t>spread_bp=10000×(ask−bid)/mid</w:t>
      </w:r>
      <w:r>
        <w:rPr>
          <w:rFonts w:ascii="Malgun Gothic" w:hAnsi="Malgun Gothic" w:eastAsia="Malgun Gothic"/>
          <w:b w:val="0"/>
        </w:rPr>
        <w:t xml:space="preserve">, 틱·절대스프레드, 양방향 호가 가용률, depth와 감소율, 호가·체결 age, 직전 RV, 시간대, DTE, 콜풋·머니니스다. 잔량은 잔량 필드에서 읽고 거래량으로 대체하지 않는다. </w:t>
      </w:r>
      <w:r>
        <w:rPr>
          <w:rFonts w:ascii="Malgun Gothic" w:hAnsi="Malgun Gothic" w:eastAsia="Malgun Gothic"/>
          <w:b w:val="0"/>
        </w:rPr>
        <w:t>(bid_qty−ask_qty)/(bid_qty+ask_qty)</w:t>
      </w:r>
      <w:r>
        <w:rPr>
          <w:rFonts w:ascii="Malgun Gothic" w:hAnsi="Malgun Gothic" w:eastAsia="Malgun Gothic"/>
          <w:b w:val="0"/>
        </w:rPr>
        <w:t>는 스냅샷 불균형이며 폴링 사이 신규·취소 이벤트를 놓치는 REST 자료의 완전한 OFI가 아니다. 주문장 연구는 참고 근거지만 국내 옵션 RFQ나 폴링 신호의 성과를 대신 입증하지 않는다. (</w:t>
      </w:r>
      <w:hyperlink r:id="rId40">
        <w:r>
          <w:rPr>
            <w:rFonts w:ascii="Malgun Gothic" w:hAnsi="Malgun Gothic" w:eastAsia="Malgun Gothic"/>
            <w:color w:val="185A8A"/>
            <w:u w:val="single"/>
          </w:rPr>
          <w:t>주문흐름·깊이 연구</w:t>
        </w:r>
      </w:hyperlink>
      <w:r>
        <w:rPr>
          <w:rFonts w:ascii="Malgun Gothic" w:hAnsi="Malgun Gothic" w:eastAsia="Malgun Gothic"/>
          <w:b w:val="0"/>
        </w:rPr>
        <w:t>)</w:t>
      </w:r>
    </w:p>
    <w:p>
      <w:r>
        <w:rPr>
          <w:rFonts w:ascii="Malgun Gothic" w:hAnsi="Malgun Gothic" w:eastAsia="Malgun Gothic"/>
          <w:b w:val="0"/>
        </w:rPr>
        <w:t xml:space="preserve">라벨은 정상 수신 중 스프레드가 학습기간의 상품·시간대 기준을 넘거나 depth가 고정 하한 아래인 상태가 사전 지정 시간 지속되는지로 정의한다. 임계값·지속조건·커버리지는 테스트 전에 잠근다. 장 종료·거래정지·네트워크 장애·미구독·응답 지연은 </w:t>
      </w:r>
      <w:r>
        <w:rPr>
          <w:rFonts w:ascii="Malgun Gothic" w:hAnsi="Malgun Gothic" w:eastAsia="Malgun Gothic"/>
          <w:b w:val="0"/>
        </w:rPr>
        <w:t>not_observable</w:t>
      </w:r>
      <w:r>
        <w:rPr>
          <w:rFonts w:ascii="Malgun Gothic" w:hAnsi="Malgun Gothic" w:eastAsia="Malgun Gothic"/>
          <w:b w:val="0"/>
        </w:rPr>
        <w:t>이고 정상 0이 아니다. 정상 수신이 확인된 실제 호가 소멸은 별도 스트레스 사건이 될 수 있다. 같은 가격이 오래 유지됐다는 이유만으로 통신 장애라 단정하지 않고 공급자시각·수신시각·heartbeat 또는 sequence로 구분한다.</w:t>
      </w:r>
    </w:p>
    <w:p>
      <w:r>
        <w:rPr>
          <w:rFonts w:ascii="Malgun Gothic" w:hAnsi="Malgun Gothic" w:eastAsia="Malgun Gothic"/>
          <w:b w:val="0"/>
        </w:rPr>
        <w:t>비교 기준은 시간대별 발생률과 직전상태 지속 모형이다. PR-AUC에는 테스트 발생률을 붙이고 Brier·보정곡선·시간당 오경보·사건당 탐지율·최초 탐지 선행시간·관측가능률을 함께 보고한다. 겹치는 5분 라벨과 인접 경보를 독립 사건으로 중복 계산하지 않는다. 관측 불능 구간을 제거했더니 개선이 사라지거나 실제 스트레스가 아닌 통신 장애만 맞히면 운영 채택에 실패한 것이다. 현재 호가 이력이 없으므로 수집기와 관측 상태 판정이 선행돼야 한다.</w:t>
      </w:r>
    </w:p>
    <w:p>
      <w:r>
        <w:rPr>
          <w:rFonts w:ascii="Malgun Gothic" w:hAnsi="Malgun Gothic" w:eastAsia="Malgun Gothic"/>
          <w:b w:val="0"/>
        </w:rPr>
        <w:t xml:space="preserve">거래 성과는 경보 성과와 별도 검증이다. 지연 후 롱 진입 ask·청산 bid를 써서 </w:t>
      </w:r>
      <w:r>
        <w:rPr>
          <w:rFonts w:ascii="Malgun Gothic" w:hAnsi="Malgun Gothic" w:eastAsia="Malgun Gothic"/>
          <w:b w:val="0"/>
        </w:rPr>
        <w:t>(bid_exit−ask_entry)×승수−수수료−시장충격</w:t>
      </w:r>
      <w:r>
        <w:rPr>
          <w:rFonts w:ascii="Malgun Gothic" w:hAnsi="Malgun Gothic" w:eastAsia="Malgun Gothic"/>
          <w:b w:val="0"/>
        </w:rPr>
        <w:t>으로 계산하고 숏은 반대 방향으로 처리한다. 양방향 호가가 없어 체결할 수 없는 구간은 미실행이며 mid 체결 이익으로 바꾸지 않는다. 실제 스프레드와 슬리피지 가정의 중복 차감도 피한다. 현재 비용 가정의 민감도는 수익 인증이 아니며, H9b가 유용해도 RFQ 포지션 가설을 입증한 것은 아니다.</w:t>
      </w:r>
    </w:p>
    <w:p>
      <w:pPr>
        <w:pStyle w:val="Heading1"/>
      </w:pPr>
      <w:r>
        <w:rPr>
          <w:rFonts w:ascii="Malgun Gothic" w:hAnsi="Malgun Gothic" w:eastAsia="Malgun Gothic"/>
          <w:b w:val="0"/>
        </w:rPr>
        <w:t>5 공통 레지스트리를 먼저 고정하면 작은 실험도 해석할 수 있다</w:t>
      </w:r>
    </w:p>
    <w:p>
      <w:pPr>
        <w:pStyle w:val="Heading2"/>
      </w:pPr>
      <w:r>
        <w:rPr>
          <w:rFonts w:ascii="Malgun Gothic" w:hAnsi="Malgun Gothic" w:eastAsia="Malgun Gothic"/>
          <w:b w:val="0"/>
        </w:rPr>
        <w:t>단위 정보시점 정답을 같은 표에 묶는다</w:t>
      </w:r>
    </w:p>
    <w:p>
      <w:r>
        <w:rPr>
          <w:rFonts w:ascii="Malgun Gothic" w:hAnsi="Malgun Gothic" w:eastAsia="Malgun Gothic"/>
          <w:b w:val="0"/>
        </w:rPr>
        <w:t>다음 레지스트리는 후속 구현의 제안이며 이미 수집된 필드를 뜻하지 않는다. 가설마다 값이 같은 이름으로 불리더라도 대상·단위·지평이 다르면 다른 열과 버전을 사용한다. 현물 RV를 계약별 종속변수로 복제하지 않고, 계약 패널에서 집계한 피처를 기초자산 날짜 패널에 연결한다.</w:t>
      </w:r>
    </w:p>
    <w:tbl>
      <w:tblPr>
        <w:tblW w:type="dxa" w:w="1022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960"/>
        <w:gridCol w:w="4464"/>
      </w:tblGrid>
      <w:tr>
        <w:trPr>
          <w:cantSplit/>
          <w:tblHeader/>
        </w:trPr>
        <w:tc>
          <w:tcPr>
            <w:tcW w:type="dxa" w:w="1800"/>
            <w:vAlign w:val="center"/>
            <w:shd w:val="clear" w:fill="243B53"/>
            <w:tcMar>
              <w:top w:w="90" w:type="dxa"/>
              <w:bottom w:w="90" w:type="dxa"/>
              <w:left w:w="100" w:type="dxa"/>
              <w:right w:w="100" w:type="dxa"/>
            </w:tcMar>
          </w:tcPr>
          <w:p>
            <w:pPr>
              <w:spacing w:after="0" w:line="276" w:lineRule="auto"/>
              <w:jc w:val="left"/>
            </w:pPr>
            <w:r>
              <w:rPr>
                <w:rFonts w:ascii="Malgun Gothic" w:hAnsi="Malgun Gothic" w:eastAsia="Malgun Gothic"/>
                <w:b/>
                <w:color w:val="FFFFFF"/>
                <w:sz w:val="19"/>
              </w:rPr>
              <w:t>등록 항목</w:t>
            </w:r>
          </w:p>
        </w:tc>
        <w:tc>
          <w:tcPr>
            <w:tcW w:type="dxa" w:w="3960"/>
            <w:vAlign w:val="center"/>
            <w:shd w:val="clear" w:fill="243B53"/>
            <w:tcMar>
              <w:top w:w="90" w:type="dxa"/>
              <w:bottom w:w="90" w:type="dxa"/>
              <w:left w:w="100" w:type="dxa"/>
              <w:right w:w="100" w:type="dxa"/>
            </w:tcMar>
          </w:tcPr>
          <w:p>
            <w:pPr>
              <w:spacing w:after="0" w:line="276" w:lineRule="auto"/>
              <w:jc w:val="left"/>
            </w:pPr>
            <w:r>
              <w:rPr>
                <w:rFonts w:ascii="Malgun Gothic" w:hAnsi="Malgun Gothic" w:eastAsia="Malgun Gothic"/>
                <w:b/>
                <w:color w:val="FFFFFF"/>
                <w:sz w:val="19"/>
              </w:rPr>
              <w:t>필수 정의</w:t>
            </w:r>
          </w:p>
        </w:tc>
        <w:tc>
          <w:tcPr>
            <w:tcW w:type="dxa" w:w="4464"/>
            <w:vAlign w:val="center"/>
            <w:shd w:val="clear" w:fill="243B53"/>
            <w:tcMar>
              <w:top w:w="90" w:type="dxa"/>
              <w:bottom w:w="90" w:type="dxa"/>
              <w:left w:w="100" w:type="dxa"/>
              <w:right w:w="100" w:type="dxa"/>
            </w:tcMar>
          </w:tcPr>
          <w:p>
            <w:pPr>
              <w:spacing w:after="0" w:line="276" w:lineRule="auto"/>
              <w:jc w:val="left"/>
            </w:pPr>
            <w:r>
              <w:rPr>
                <w:rFonts w:ascii="Malgun Gothic" w:hAnsi="Malgun Gothic" w:eastAsia="Malgun Gothic"/>
                <w:b/>
                <w:color w:val="FFFFFF"/>
                <w:sz w:val="19"/>
              </w:rPr>
              <w:t>검증·중단 기준</w:t>
            </w:r>
          </w:p>
        </w:tc>
      </w:tr>
      <w:tr>
        <w:trPr>
          <w:cantSplit/>
        </w:trPr>
        <w:tc>
          <w:tcPr>
            <w:tcW w:type="dxa" w:w="180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상품</w:t>
            </w:r>
          </w:p>
        </w:tc>
        <w:tc>
          <w:tcPr>
            <w:tcW w:type="dxa" w:w="396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market, underlying, symbol, expiry_at, session, multiplier, exercise, settlement, rule_version</w:t>
            </w:r>
          </w:p>
        </w:tc>
        <w:tc>
          <w:tcPr>
            <w:tcW w:type="dxa" w:w="446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동일 코드의 규격·승수 변경과 주간/야간 중복 해결 전 합산 금지</w:t>
            </w:r>
          </w:p>
        </w:tc>
      </w:tr>
      <w:tr>
        <w:trPr>
          <w:cantSplit/>
        </w:trPr>
        <w:tc>
          <w:tcPr>
            <w:tcW w:type="dxa" w:w="180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정보시점</w:t>
            </w:r>
          </w:p>
        </w:tc>
        <w:tc>
          <w:tcPr>
            <w:tcW w:type="dxa" w:w="396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event/observation_at, published_at, received_at, available_at, timezone, revision_id</w:t>
            </w:r>
          </w:p>
        </w:tc>
        <w:tc>
          <w:tcPr>
            <w:tcW w:type="dxa" w:w="446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실제 이용 가능 시각이 decision_at 이후인 피처 제외</w:t>
            </w:r>
          </w:p>
        </w:tc>
      </w:tr>
      <w:tr>
        <w:trPr>
          <w:cantSplit/>
        </w:trPr>
        <w:tc>
          <w:tcPr>
            <w:tcW w:type="dxa" w:w="180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RV 정답</w:t>
            </w:r>
          </w:p>
        </w:tc>
        <w:tc>
          <w:tcPr>
            <w:tcW w:type="dxa" w:w="396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target_id, 현물/선물, session, 간격, 분산 단위, coverage, zero_policy</w:t>
            </w:r>
          </w:p>
        </w:tc>
        <w:tc>
          <w:tcPr>
            <w:tcW w:type="dxa" w:w="446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불완전 세션·통신 결측을 0 RV로 사용하지 않음</w:t>
            </w:r>
          </w:p>
        </w:tc>
      </w:tr>
      <w:tr>
        <w:trPr>
          <w:cantSplit/>
        </w:trPr>
        <w:tc>
          <w:tcPr>
            <w:tcW w:type="dxa" w:w="180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미래 정답</w:t>
            </w:r>
          </w:p>
        </w:tc>
        <w:tc>
          <w:tcPr>
            <w:tcW w:type="dxa" w:w="396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label_start_at, label_end_at, horizon, mean/sum, complete_sessions</w:t>
            </w:r>
          </w:p>
        </w:tc>
        <w:tc>
          <w:tcPr>
            <w:tcW w:type="dxa" w:w="446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마지막 불완전 미래창은 NA; 평균5일·누적5일 혼용 금지</w:t>
            </w:r>
          </w:p>
        </w:tc>
      </w:tr>
      <w:tr>
        <w:trPr>
          <w:cantSplit/>
        </w:trPr>
        <w:tc>
          <w:tcPr>
            <w:tcW w:type="dxa" w:w="180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수급 피처</w:t>
            </w:r>
          </w:p>
        </w:tc>
        <w:tc>
          <w:tcPr>
            <w:tcW w:type="dxa" w:w="396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계약 범위, 투자자군, 수량/금액, 누적/증분, lag, 롤·신규·소멸</w:t>
            </w:r>
          </w:p>
        </w:tc>
        <w:tc>
          <w:tcPr>
            <w:tcW w:type="dxa" w:w="446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단위·합계 대사·리셋·공표시차 미확인 시 모델 연결 보류</w:t>
            </w:r>
          </w:p>
        </w:tc>
      </w:tr>
      <w:tr>
        <w:trPr>
          <w:cantSplit/>
        </w:trPr>
        <w:tc>
          <w:tcPr>
            <w:tcW w:type="dxa" w:w="180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스트레스</w:t>
            </w:r>
          </w:p>
        </w:tc>
        <w:tc>
          <w:tcPr>
            <w:tcW w:type="dxa" w:w="396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관측가능 상태, 상품별 임계값, 지속시간, 사건 병합, 검열 이유</w:t>
            </w:r>
          </w:p>
        </w:tc>
        <w:tc>
          <w:tcPr>
            <w:tcW w:type="dxa" w:w="446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결측을 정상으로 분류하지 않고 관측가능률 동시 보고</w:t>
            </w:r>
          </w:p>
        </w:tc>
      </w:tr>
      <w:tr>
        <w:trPr>
          <w:cantSplit/>
        </w:trPr>
        <w:tc>
          <w:tcPr>
            <w:tcW w:type="dxa" w:w="180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사건·인과</w:t>
            </w:r>
          </w:p>
        </w:tc>
        <w:tc>
          <w:tcPr>
            <w:tcW w:type="dxa" w:w="3960"/>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announcement/effective_at, 처리 강도, 대조군, anticipation, 동시 뉴스</w:t>
            </w:r>
          </w:p>
        </w:tc>
        <w:tc>
          <w:tcPr>
            <w:tcW w:type="dxa" w:w="4464"/>
            <w:vAlign w:val="center"/>
            <w:shd w:val="clear" w:fill="FFFFFF"/>
            <w:tcMar>
              <w:top w:w="90" w:type="dxa"/>
              <w:bottom w:w="90" w:type="dxa"/>
              <w:left w:w="100" w:type="dxa"/>
              <w:right w:w="100" w:type="dxa"/>
            </w:tcMar>
          </w:tcPr>
          <w:p>
            <w:pPr>
              <w:spacing w:after="0" w:line="276" w:lineRule="auto"/>
              <w:jc w:val="left"/>
            </w:pPr>
            <w:r>
              <w:rPr>
                <w:rFonts w:ascii="Malgun Gothic" w:hAnsi="Malgun Gothic" w:eastAsia="Malgun Gothic"/>
                <w:b w:val="0"/>
                <w:sz w:val="19"/>
              </w:rPr>
              <w:t>동일 사건·요일·상품의 rank 중복과 공통 지지 부족 검사</w:t>
            </w:r>
          </w:p>
        </w:tc>
      </w:tr>
      <w:tr>
        <w:trPr>
          <w:cantSplit/>
        </w:trPr>
        <w:tc>
          <w:tcPr>
            <w:tcW w:type="dxa" w:w="180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평가</w:t>
            </w:r>
          </w:p>
        </w:tc>
        <w:tc>
          <w:tcPr>
            <w:tcW w:type="dxa" w:w="3960"/>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주 손실, 동일 테스트 날짜, fold, 데이터 버전, 독립 날짜/사건 수</w:t>
            </w:r>
          </w:p>
        </w:tc>
        <w:tc>
          <w:tcPr>
            <w:tcW w:type="dxa" w:w="4464"/>
            <w:vAlign w:val="center"/>
            <w:shd w:val="clear" w:fill="F2F5F8"/>
            <w:tcMar>
              <w:top w:w="90" w:type="dxa"/>
              <w:bottom w:w="90" w:type="dxa"/>
              <w:left w:w="100" w:type="dxa"/>
              <w:right w:w="100" w:type="dxa"/>
            </w:tcMar>
          </w:tcPr>
          <w:p>
            <w:pPr>
              <w:spacing w:after="0" w:line="276" w:lineRule="auto"/>
              <w:jc w:val="left"/>
            </w:pPr>
            <w:r>
              <w:rPr>
                <w:rFonts w:ascii="Malgun Gothic" w:hAnsi="Malgun Gothic" w:eastAsia="Malgun Gothic"/>
                <w:b w:val="0"/>
                <w:sz w:val="19"/>
              </w:rPr>
              <w:t>사후 창·피처·시장 선택을 주 검정으로 승격하지 않음</w:t>
            </w:r>
          </w:p>
        </w:tc>
      </w:tr>
    </w:tbl>
    <w:p>
      <w:pPr>
        <w:spacing w:after="0"/>
      </w:pPr>
    </w:p>
    <w:p>
      <w:r>
        <w:rPr>
          <w:rFonts w:ascii="Malgun Gothic" w:hAnsi="Malgun Gothic" w:eastAsia="Malgun Gothic"/>
          <w:b w:val="0"/>
        </w:rPr>
        <w:t xml:space="preserve">GARCH·HAR·IV를 묶기 전에 목표 지평을 일치시켜야 한다. GARCH는 지정한 수익률 구간의 조건부분산이고 장중 RV는 관측 세션의 실현분산이므로 close-to-close 분산과 overnight를 제외한 RV를 그대로 비교하지 않는다. 5일 누적 예측이면 일별 분산을 같은 미래 구간으로 집계한다. 연율 IV가 %이면 먼저 소수로 바꾸고 </w:t>
      </w:r>
      <w:r>
        <w:rPr>
          <w:rFonts w:ascii="Malgun Gothic" w:hAnsi="Malgun Gothic" w:eastAsia="Malgun Gothic"/>
          <w:b w:val="0"/>
        </w:rPr>
        <w:t>IV_decimal²×horizon_year_fraction</w:t>
      </w:r>
      <w:r>
        <w:rPr>
          <w:rFonts w:ascii="Malgun Gothic" w:hAnsi="Malgun Gothic" w:eastAsia="Malgun Gothic"/>
          <w:b w:val="0"/>
        </w:rPr>
        <w:t>으로 비교 지평의 분산을 만들되 거래일·달력일·야간·잔존만기 규약을 맞춘다. 스케일을 맞춰도 가격 내포 IV와 실제확률의 미래 RV는 서로 다른 개념이다. 표준화는 이 단위·정답 불일치를 해결하지 못한다.</w:t>
      </w:r>
    </w:p>
    <w:p>
      <w:pPr>
        <w:pStyle w:val="Heading2"/>
      </w:pPr>
      <w:r>
        <w:rPr>
          <w:rFonts w:ascii="Malgun Gothic" w:hAnsi="Malgun Gothic" w:eastAsia="Malgun Gothic"/>
          <w:b w:val="0"/>
        </w:rPr>
        <w:t>시간 검증은 날짜와 실제 미래창을 기준으로 한다</w:t>
      </w:r>
    </w:p>
    <w:p>
      <w:r>
        <w:rPr>
          <w:rFonts w:ascii="Malgun Gothic" w:hAnsi="Malgun Gothic" w:eastAsia="Malgun Gothic"/>
          <w:b w:val="0"/>
        </w:rPr>
        <w:t xml:space="preserve">확장 또는 이동 학습창, 내부 검증창, 마지막 고정 테스트를 분리한다. 같은 날짜의 계약·기초자산은 같은 fold에 두고 훈련 라벨의 종료시각이 검증 시작을 넘으면 제거한다. 5일 중첩 라벨은 미래 4일을 공유하므로 날짜 블록 bootstrap이나 HAC로 손실차의 의존성을 반영하고 비중첩 주간 표본을 보조 점검한다. 계약행 기준 </w:t>
      </w:r>
      <w:r>
        <w:rPr>
          <w:rFonts w:ascii="Malgun Gothic" w:hAnsi="Malgun Gothic" w:eastAsia="Malgun Gothic"/>
          <w:b w:val="0"/>
        </w:rPr>
        <w:t>gap=5</w:t>
      </w:r>
      <w:r>
        <w:rPr>
          <w:rFonts w:ascii="Malgun Gothic" w:hAnsi="Malgun Gothic" w:eastAsia="Malgun Gothic"/>
          <w:b w:val="0"/>
        </w:rPr>
        <w:t>는 5거래일 제거가 아니며, 과거 입력창 길이 전체를 무조건 purge하는 것도 일반 원칙은 아니다. 제거 범위는 입력 가용시각과 미래 라벨 구간에서 도출한다. (</w:t>
      </w:r>
      <w:hyperlink r:id="rId41">
        <w:r>
          <w:rPr>
            <w:rFonts w:ascii="Malgun Gothic" w:hAnsi="Malgun Gothic" w:eastAsia="Malgun Gothic"/>
            <w:color w:val="185A8A"/>
            <w:u w:val="single"/>
          </w:rPr>
          <w:t>TimeSeriesSplit 공식 설명</w:t>
        </w:r>
      </w:hyperlink>
      <w:r>
        <w:rPr>
          <w:rFonts w:ascii="Malgun Gothic" w:hAnsi="Malgun Gothic" w:eastAsia="Malgun Gothic"/>
          <w:b w:val="0"/>
        </w:rPr>
        <w:t>)</w:t>
      </w:r>
    </w:p>
    <w:p>
      <w:r>
        <w:rPr>
          <w:rFonts w:ascii="Malgun Gothic" w:hAnsi="Malgun Gothic" w:eastAsia="Malgun Gothic"/>
          <w:b w:val="0"/>
        </w:rPr>
        <w:t xml:space="preserve">스케일·분위수·피처 선택·국면·이상점수·확률 보정은 각 훈련 구간과 독립 보정창 안에서만 적합한다. 스태킹은 시간 순서 OOF 예측으로 메타모형을 학습하며 전체자료에서 만든 이상점수나 표준화를 OOF에 넣지 않는다. 조기종료도 시간 순서를 보존한 창을 사용해야 한다. 원본 MLP의 내장 </w:t>
      </w:r>
      <w:r>
        <w:rPr>
          <w:rFonts w:ascii="Malgun Gothic" w:hAnsi="Malgun Gothic" w:eastAsia="Malgun Gothic"/>
          <w:b w:val="0"/>
        </w:rPr>
        <w:t>early_stopping</w:t>
      </w:r>
      <w:r>
        <w:rPr>
          <w:rFonts w:ascii="Malgun Gothic" w:hAnsi="Malgun Gothic" w:eastAsia="Malgun Gothic"/>
          <w:b w:val="0"/>
        </w:rPr>
        <w:t>은 시계열 전용 검증을 보장하지 않는다. 검증에서 빠진 단일 클래스 fold도 번호와 제외 사유를 남겨 유효한 fold만 재번호 매긴 비교를 피한다. (</w:t>
      </w:r>
      <w:hyperlink r:id="rId42">
        <w:r>
          <w:rPr>
            <w:rFonts w:ascii="Malgun Gothic" w:hAnsi="Malgun Gothic" w:eastAsia="Malgun Gothic"/>
            <w:color w:val="185A8A"/>
            <w:u w:val="single"/>
          </w:rPr>
          <w:t>MLPClassifier 문서</w:t>
        </w:r>
      </w:hyperlink>
      <w:r>
        <w:rPr>
          <w:rFonts w:ascii="Malgun Gothic" w:hAnsi="Malgun Gothic" w:eastAsia="Malgun Gothic"/>
          <w:b w:val="0"/>
        </w:rPr>
        <w:t>)</w:t>
      </w:r>
    </w:p>
    <w:p>
      <w:r>
        <w:rPr>
          <w:rFonts w:ascii="Malgun Gothic" w:hAnsi="Malgun Gothic" w:eastAsia="Malgun Gothic"/>
          <w:b w:val="0"/>
        </w:rPr>
        <w:t>이상점수와 위험확률도 구별한다. IsolationForest의 contamination은 임계값 설정에 쓰는 비율이지 실제 위기 발생확률이 아니다. 국가별 원시 점수를 평균내도 같은 위험 단위가 되지 않는다. 과거 보정창에서 백분위로 맞춰도 백분위는 여전히 확률 정답에 대한 보정값이 아니다. SHAP은 홀드아웃 예측에 대한 피처 기여를 설명하며 상관된 OI·거래량·PCR의 기여 배분은 흔들릴 수 있다. 보고 문구는 “변동성을 높인 원인”보다 “높은 예측값에 기여한 피처”로 제한한다. (</w:t>
      </w:r>
      <w:hyperlink r:id="rId43">
        <w:r>
          <w:rPr>
            <w:rFonts w:ascii="Malgun Gothic" w:hAnsi="Malgun Gothic" w:eastAsia="Malgun Gothic"/>
            <w:color w:val="185A8A"/>
            <w:u w:val="single"/>
          </w:rPr>
          <w:t>IsolationForest 문서</w:t>
        </w:r>
      </w:hyperlink>
      <w:r>
        <w:rPr>
          <w:rFonts w:ascii="Malgun Gothic" w:hAnsi="Malgun Gothic" w:eastAsia="Malgun Gothic"/>
          <w:b w:val="0"/>
        </w:rPr>
        <w:t xml:space="preserve">, </w:t>
      </w:r>
      <w:hyperlink r:id="rId44">
        <w:r>
          <w:rPr>
            <w:rFonts w:ascii="Malgun Gothic" w:hAnsi="Malgun Gothic" w:eastAsia="Malgun Gothic"/>
            <w:color w:val="185A8A"/>
            <w:u w:val="single"/>
          </w:rPr>
          <w:t>SHAP의 인과 해석 주의</w:t>
        </w:r>
      </w:hyperlink>
      <w:r>
        <w:rPr>
          <w:rFonts w:ascii="Malgun Gothic" w:hAnsi="Malgun Gothic" w:eastAsia="Malgun Gothic"/>
          <w:b w:val="0"/>
        </w:rPr>
        <w:t>)</w:t>
      </w:r>
    </w:p>
    <w:p>
      <w:pPr>
        <w:pStyle w:val="Heading2"/>
      </w:pPr>
      <w:r>
        <w:rPr>
          <w:rFonts w:ascii="Malgun Gothic" w:hAnsi="Malgun Gothic" w:eastAsia="Malgun Gothic"/>
          <w:b w:val="0"/>
        </w:rPr>
        <w:t>다음 단계는 데이터 관문과 가설별 중단 기준으로 결정한다</w:t>
      </w:r>
    </w:p>
    <w:p>
      <w:r>
        <w:rPr>
          <w:rFonts w:ascii="Malgun Gothic" w:hAnsi="Malgun Gothic" w:eastAsia="Malgun Gothic"/>
          <w:b w:val="0"/>
        </w:rPr>
        <w:t>첫 산출물은 성능표가 아니라 시각·단위·커버리지·정정 이력이 검증된 패널과 타깃 레지스트리다. 그다음 persistence·HAR를 같은 미래창에서 비교하고 H5 달력과 H6 OI를 순차적으로 추가한다. 합계·지연을 확인한 투자자 집계가 있으면 FLOW-PRED에서 흐름과 집중의 제거 실험을 수행한다. 호가·잔량 수집과 관측 불능 판정이 안정화되면 H9b를 별도 경보 과제로 연다. H2는 국내 기준 성능과 시간 외 평가가 마련된 뒤 진행한다. H1·H4의 인과효과와 H3·H7·H8의 원 메커니즘은 필요한 외부 사건·보유·포지션이 확보된 경우에만 착수한다.</w:t>
      </w:r>
    </w:p>
    <w:p>
      <w:r>
        <w:rPr>
          <w:rFonts w:ascii="Malgun Gothic" w:hAnsi="Malgun Gothic" w:eastAsia="Malgun Gothic"/>
          <w:b w:val="0"/>
        </w:rPr>
        <w:t>표본 수는 계약 개수가 아니라 독립 날짜·만기·도입·공급 사건과 국면별 커버리지로 평가한다. 임의의 최소 N이 성공을 보장한다고 약속하지 않고, 파일럿의 의존구조와 사전 정한 최소 경제적 효과로 검정력을 재평가한다. 개선이 없거나 구간이 넓으면 그 사실을 남기고 다음 모형을 무한 탐색하지 않는다. 어느 단계든 정합성 검사 실패는 해당 성능 해석의 중단 조건이며, 자료 부재는 가설 기각이 아니다.</w:t>
      </w:r>
    </w:p>
    <w:p>
      <w:r>
        <w:rPr>
          <w:rFonts w:ascii="Malgun Gothic" w:hAnsi="Malgun Gothic" w:eastAsia="Malgun Gothic"/>
          <w:b w:val="0"/>
        </w:rPr>
        <w:t xml:space="preserve">이번 검토가 바꾸는 핵심은 개발 순서다. 먼저 확보할 것은 더 많은 모델 종류가 아니라 </w:t>
      </w:r>
      <w:r>
        <w:rPr>
          <w:rFonts w:ascii="Malgun Gothic" w:hAnsi="Malgun Gothic" w:eastAsia="Malgun Gothic"/>
          <w:b/>
        </w:rPr>
        <w:t>동일한 정보시점에서 측정한 입력, 완결된 미래 정답, 적절한 비교군</w:t>
      </w:r>
      <w:r>
        <w:rPr>
          <w:rFonts w:ascii="Malgun Gothic" w:hAnsi="Malgun Gothic" w:eastAsia="Malgun Gothic"/>
          <w:b w:val="0"/>
        </w:rPr>
        <w:t>이다. 이를 갖추면 만기·OI·수급 신호가 기존 변동성 지속성을 넘는지 적은 수의 투명한 실험으로 판정할 수 있다. 그 결과가 0이거나 예상과 반대여도 연구는 성립한다. 최종 목적은 각 가설을 채택하는 것이 아니라 어떤 주장은 관측했고 어떤 주장은 아직 관측하지 못했는지 분명한 모델을 만드는 데 있다.</w:t>
      </w:r>
    </w:p>
    <w:sectPr w:rsidR="00FC693F" w:rsidRPr="0006063C" w:rsidSect="00034616">
      <w:footerReference w:type="default" r:id="rId9"/>
      <w:pgSz w:w="12240" w:h="15840"/>
      <w:pgMar w:top="1008" w:right="1008" w:bottom="1008"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12" w:lineRule="auto"/>
    </w:pPr>
    <w:rPr>
      <w:rFonts w:ascii="Malgun Gothic" w:hAnsi="Malgun Gothic" w:eastAsia="Malgun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Malgun Gothic" w:hAnsi="Malgun Gothic" w:eastAsia="Malgun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w48795472/Weekly-Option-Model-preview/blob/43ab2df8ed7c7821e91554acba51d0338a0e6033/docs/research/hypotheses/causality_transfer.md" TargetMode="External"/><Relationship Id="rId11" Type="http://schemas.openxmlformats.org/officeDocument/2006/relationships/hyperlink" Target="https://github.com/mw48795472/Weekly-Option-Model-preview/blob/43ab2df8ed7c7821e91554acba51d0338a0e6033/docs/research/hypotheses/position_mechanisms.md" TargetMode="External"/><Relationship Id="rId12" Type="http://schemas.openxmlformats.org/officeDocument/2006/relationships/hyperlink" Target="https://github.com/mw48795472/Weekly-Option-Model-preview/blob/43ab2df8ed7c7821e91554acba51d0338a0e6033/docs/research/hypotheses/forecast_execution.md" TargetMode="External"/><Relationship Id="rId13" Type="http://schemas.openxmlformats.org/officeDocument/2006/relationships/hyperlink" Target="https://github.com/mw48795472/Weekly-Option-Model-preview/blob/43ab2df8ed7c7821e91554acba51d0338a0e6033/data/analysis/hypotheses/forecast_diagnostics.json" TargetMode="External"/><Relationship Id="rId14" Type="http://schemas.openxmlformats.org/officeDocument/2006/relationships/hyperlink" Target="https://github.com/mw48795472/Weekly-Option-Model-preview/blob/43ab2df8ed7c7821e91554acba51d0338a0e6033/data/analysis/hypotheses/forecast_design_matrix.csv" TargetMode="External"/><Relationship Id="rId15" Type="http://schemas.openxmlformats.org/officeDocument/2006/relationships/hyperlink" Target="https://www.hkex.com.hk/News/News-Release/2024/240508news?sc_lang=en" TargetMode="External"/><Relationship Id="rId16" Type="http://schemas.openxmlformats.org/officeDocument/2006/relationships/hyperlink" Target="https://www.hkex.com.hk/-/media/HKEX-Market/Services/Circulars-and-Notices/Participant-and-Members-Circulars/SEHK/2024/EQD_09_24_e.pdf" TargetMode="External"/><Relationship Id="rId17" Type="http://schemas.openxmlformats.org/officeDocument/2006/relationships/hyperlink" Target="https://www.hkex.com.hk/News/News-Release/2025/250227news?sc_lang=en" TargetMode="External"/><Relationship Id="rId18" Type="http://schemas.openxmlformats.org/officeDocument/2006/relationships/hyperlink" Target="https://arxiv.org/html/1803.09015v4" TargetMode="External"/><Relationship Id="rId19" Type="http://schemas.openxmlformats.org/officeDocument/2006/relationships/hyperlink" Target="https://arxiv.org/abs/1804.05785" TargetMode="External"/><Relationship Id="rId20" Type="http://schemas.openxmlformats.org/officeDocument/2006/relationships/hyperlink" Target="https://asheshrambachan.github.io/assets/files/hpt-draft.pdf" TargetMode="External"/><Relationship Id="rId21" Type="http://schemas.openxmlformats.org/officeDocument/2006/relationships/hyperlink" Target="https://www.hkex.com.hk/-/media/HKEX_Common/Market/Products/Listed-Derivatives/Single-Stock/Weekly-Stock-Options/HKEX_infosheet_WeeklyStockOptions_EN.pdf" TargetMode="External"/><Relationship Id="rId22" Type="http://schemas.openxmlformats.org/officeDocument/2006/relationships/hyperlink" Target="https://www.jpx.co.jp/english/derivatives/products/domestic/225mini-options/01.html" TargetMode="External"/><Relationship Id="rId23" Type="http://schemas.openxmlformats.org/officeDocument/2006/relationships/hyperlink" Target="https://www.taifex.com.tw/enl/eng2/sSO?menuid1=12" TargetMode="External"/><Relationship Id="rId24" Type="http://schemas.openxmlformats.org/officeDocument/2006/relationships/hyperlink" Target="https://link.springer.com/article/10.1007/s10994-009-5152-4" TargetMode="External"/><Relationship Id="rId25" Type="http://schemas.openxmlformats.org/officeDocument/2006/relationships/hyperlink" Target="https://www.cboe.com/tradable_products/vix/faqs" TargetMode="External"/><Relationship Id="rId26" Type="http://schemas.openxmlformats.org/officeDocument/2006/relationships/hyperlink" Target="https://www.kcmi.re.kr/report/report_view?report_no=2227" TargetMode="External"/><Relationship Id="rId27" Type="http://schemas.openxmlformats.org/officeDocument/2006/relationships/hyperlink" Target="https://www.kcmi.re.kr/report/report_view?report_no=2229" TargetMode="External"/><Relationship Id="rId28" Type="http://schemas.openxmlformats.org/officeDocument/2006/relationships/hyperlink" Target="https://pages.stern.nyu.edu/~lpederse/papers/DBOP.pdf" TargetMode="External"/><Relationship Id="rId29" Type="http://schemas.openxmlformats.org/officeDocument/2006/relationships/hyperlink" Target="https://cdn.cboe.com/resources/education/research_publications/gammasqueezes.pdf" TargetMode="External"/><Relationship Id="rId30" Type="http://schemas.openxmlformats.org/officeDocument/2006/relationships/hyperlink" Target="https://m.samsungfund.com/sheet/20260106/2ETFP4_20251230.pdf" TargetMode="External"/><Relationship Id="rId31" Type="http://schemas.openxmlformats.org/officeDocument/2006/relationships/hyperlink" Target="https://www.samsungfund.com/upload/kodex/newsroom/20250912183647389.pdf" TargetMode="External"/><Relationship Id="rId32" Type="http://schemas.openxmlformats.org/officeDocument/2006/relationships/hyperlink" Target="https://www.hbs.edu/ris/Publication%20Files/Stock%20Price%20Fragility_eac0d3cb-4174-4a4f-af7d-610ff4e9de48.pdf" TargetMode="External"/><Relationship Id="rId33" Type="http://schemas.openxmlformats.org/officeDocument/2006/relationships/hyperlink" Target="https://www.nber.org/papers/w19290" TargetMode="External"/><Relationship Id="rId34" Type="http://schemas.openxmlformats.org/officeDocument/2006/relationships/hyperlink" Target="https://apidev.futures.co.kr/#/api?g=118&amp;a=240&amp;v=1" TargetMode="External"/><Relationship Id="rId35" Type="http://schemas.openxmlformats.org/officeDocument/2006/relationships/hyperlink" Target="https://www.cmegroup.com/education/lessons/open-interest" TargetMode="External"/><Relationship Id="rId36" Type="http://schemas.openxmlformats.org/officeDocument/2006/relationships/hyperlink" Target="https://apidev.futures.co.kr/#/api?g=118&amp;a=242&amp;v=1" TargetMode="External"/><Relationship Id="rId37" Type="http://schemas.openxmlformats.org/officeDocument/2006/relationships/hyperlink" Target="https://statmath.wu.ac.at/~hauser/LVs/FinEtricsQF/References/Corsi2009JFinEtrics_LMmodelRealizedVola.pdf" TargetMode="External"/><Relationship Id="rId38" Type="http://schemas.openxmlformats.org/officeDocument/2006/relationships/hyperlink" Target="https://public.econ.duke.edu/~ap172/Patton_vol_proxies_JoE_2011.pdf" TargetMode="External"/><Relationship Id="rId39" Type="http://schemas.openxmlformats.org/officeDocument/2006/relationships/hyperlink" Target="https://apidev.futures.co.kr/#/api?g=118&amp;a=244&amp;v=1" TargetMode="External"/><Relationship Id="rId40" Type="http://schemas.openxmlformats.org/officeDocument/2006/relationships/hyperlink" Target="https://arxiv.org/abs/1011.6402" TargetMode="External"/><Relationship Id="rId41" Type="http://schemas.openxmlformats.org/officeDocument/2006/relationships/hyperlink" Target="https://scikit-learn.org/stable/modules/generated/sklearn.model_selection.TimeSeriesSplit.html" TargetMode="External"/><Relationship Id="rId42" Type="http://schemas.openxmlformats.org/officeDocument/2006/relationships/hyperlink" Target="https://scikit-learn.org/stable/modules/generated/sklearn.neural_network.MLPClassifier.html" TargetMode="External"/><Relationship Id="rId43" Type="http://schemas.openxmlformats.org/officeDocument/2006/relationships/hyperlink" Target="https://scikit-learn.org/stable/modules/generated/sklearn.ensemble.IsolationForest.html" TargetMode="External"/><Relationship Id="rId44" Type="http://schemas.openxmlformats.org/officeDocument/2006/relationships/hyperlink" Target="https://shap.readthedocs.io/en/latest/example_notebooks/overviews/Be%20careful%20when%20interpreting%20predictive%20models%20in%20search%20of%20causal%20insigh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위클리옵션 가설 심화 검토</dc:title>
  <dc:subject>H1부터 H9 및 H9b 연구 설계와 저장자료 진단</dc:subject>
  <dc:creator>Weekly Option Research</dc:creator>
  <cp:keywords>NH Futures, weekly options, hypothesis review</cp:keywords>
  <dc:description>generated by python-docx</dc:description>
  <cp:lastModifiedBy/>
  <cp:revision>1</cp:revision>
  <dcterms:created xsi:type="dcterms:W3CDTF">2013-12-23T23:15:00Z</dcterms:created>
  <dcterms:modified xsi:type="dcterms:W3CDTF">2013-12-23T23:15:00Z</dcterms:modified>
  <cp:category/>
</cp:coreProperties>
</file>