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0097A7"/>
          <w:sz w:val="52"/>
          <w:szCs w:val="52"/>
        </w:rPr>
        <w:t xml:space="preserve">BSS Magic Sales BrainLift</w:t>
      </w:r>
    </w:p>
    <w:p>
      <w:pPr>
        <w:spacing w:after="80"/>
      </w:pPr>
      <w:r>
        <w:rPr>
          <w:rFonts w:ascii="Arial" w:cs="Arial" w:eastAsia="Arial" w:hAnsi="Arial"/>
          <w:i/>
          <w:iCs/>
          <w:color w:val="666666"/>
          <w:sz w:val="26"/>
          <w:szCs w:val="26"/>
        </w:rPr>
        <w:t xml:space="preserve">Core Beliefs &amp; Sales Intelligence Framework</w:t>
      </w:r>
    </w:p>
    <w:p>
      <w:pPr>
        <w:pBdr>
          <w:bottom w:val="single" w:color="0097A7" w:sz="6" w:space="6"/>
        </w:pBdr>
        <w:spacing w:after="400"/>
      </w:pPr>
      <w:r>
        <w:rPr>
          <w:rFonts w:ascii="Arial" w:cs="Arial" w:eastAsia="Arial" w:hAnsi="Arial"/>
          <w:color w:val="888888"/>
          <w:sz w:val="20"/>
          <w:szCs w:val="20"/>
        </w:rPr>
        <w:t xml:space="preserve">Owner: Danielle Rios, CEO of Totogi  |  Maintained by: BSS Magic Sales Team</w:t>
      </w:r>
    </w:p>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1. What BSS Magic Is (And Why It Matters Now)</w:t>
      </w:r>
    </w:p>
    <w:p>
      <w:pPr>
        <w:spacing w:after="100"/>
      </w:pPr>
      <w:r>
        <w:rPr>
          <w:rFonts w:ascii="Arial" w:cs="Arial" w:eastAsia="Arial" w:hAnsi="Arial"/>
          <w:color w:val="1A2B3C"/>
          <w:sz w:val="22"/>
          <w:szCs w:val="22"/>
        </w:rPr>
        <w:t xml:space="preserve">BSS Magic is the Palantir of telecommunications — a three-layer platform that solves the semantic bankruptcy crisis preventing telcos from deploying AI that can actually act.</w:t>
      </w:r>
    </w:p>
    <w:p>
      <w:pPr>
        <w:spacing w:after="80"/>
      </w:pPr>
      <w:r>
        <w:t xml:space="preserve"/>
      </w:r>
    </w:p>
    <w:p>
      <w:pPr>
        <w:spacing w:after="100"/>
      </w:pPr>
      <w:r>
        <w:rPr>
          <w:rFonts w:ascii="Arial" w:cs="Arial" w:eastAsia="Arial" w:hAnsi="Arial"/>
          <w:color w:val="1A2B3C"/>
          <w:sz w:val="22"/>
          <w:szCs w:val="22"/>
        </w:rPr>
        <w:t xml:space="preserve">Telcos have achieved semantic consistency in data lakes — normalized schemas, standardized terms, reconciled definitions. But it's read-only consistency. AI can see the at-risk customer perfectly. It can't do anything about it. Taking action requires calling APIs in operational systems that speak different languages than the lake.</w:t>
      </w:r>
    </w:p>
    <w:p>
      <w:pPr>
        <w:spacing w:after="80"/>
      </w:pPr>
      <w:r>
        <w:t xml:space="preserve"/>
      </w:r>
    </w:p>
    <w:p>
      <w:pPr>
        <w:spacing w:after="100"/>
      </w:pPr>
      <w:r>
        <w:rPr>
          <w:rFonts w:ascii="Arial" w:cs="Arial" w:eastAsia="Arial" w:hAnsi="Arial"/>
          <w:color w:val="1A2B3C"/>
          <w:sz w:val="22"/>
          <w:szCs w:val="22"/>
        </w:rPr>
        <w:t xml:space="preserve">BSS Magic solves semantic consistency where it matters — connected to operational systems, with controls (not copies), where AI can reason AND act. As AI moves from advisor to actor, the architecture that worked for analytics fails catastrophically. Dashboards don't grow revenue. Actions do.</w:t>
      </w:r>
    </w:p>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2. Core Sales Beliefs</w:t>
      </w:r>
    </w:p>
    <w:p>
      <w:pPr>
        <w:spacing w:after="80"/>
      </w:pPr>
      <w:r>
        <w:t xml:space="preserve"/>
      </w:r>
    </w:p>
    <w:p>
      <w:pPr>
        <w:pStyle w:val="Heading2"/>
        <w:spacing w:after="120" w:before="300"/>
      </w:pPr>
      <w:r>
        <w:rPr>
          <w:rFonts w:ascii="Arial" w:cs="Arial" w:eastAsia="Arial" w:hAnsi="Arial"/>
          <w:b/>
          <w:bCs/>
          <w:color w:val="1A2B3C"/>
          <w:sz w:val="26"/>
          <w:szCs w:val="26"/>
        </w:rPr>
        <w:t xml:space="preserve">Philosophy</w:t>
      </w:r>
    </w:p>
    <w:p>
      <w:pPr>
        <w:pStyle w:val="ListParagraph"/>
        <w:numPr>
          <w:ilvl w:val="0"/>
          <w:numId w:val="2"/>
        </w:numPr>
      </w:pPr>
      <w:r>
        <w:rPr>
          <w:rFonts w:ascii="Arial" w:cs="Arial" w:eastAsia="Arial" w:hAnsi="Arial"/>
          <w:b w:val="false"/>
          <w:bCs w:val="false"/>
          <w:color w:val="1A2B3C"/>
          <w:sz w:val="22"/>
          <w:szCs w:val="22"/>
        </w:rPr>
        <w:t xml:space="preserve">A Totogi Ontology deal cannot be sold as a one-shot. It requires planning, exploration of problems, understanding what the customer has tried and failed, and mapping out a long-term strategy.</w:t>
      </w:r>
    </w:p>
    <w:p>
      <w:pPr>
        <w:pStyle w:val="ListParagraph"/>
        <w:numPr>
          <w:ilvl w:val="0"/>
          <w:numId w:val="2"/>
        </w:numPr>
      </w:pPr>
      <w:r>
        <w:rPr>
          <w:rFonts w:ascii="Arial" w:cs="Arial" w:eastAsia="Arial" w:hAnsi="Arial"/>
          <w:b w:val="false"/>
          <w:bCs w:val="false"/>
          <w:color w:val="1A2B3C"/>
          <w:sz w:val="22"/>
          <w:szCs w:val="22"/>
        </w:rPr>
        <w:t xml:space="preserve">Land and expand is our goal with every account.</w:t>
      </w:r>
    </w:p>
    <w:p>
      <w:pPr>
        <w:pStyle w:val="ListParagraph"/>
        <w:numPr>
          <w:ilvl w:val="0"/>
          <w:numId w:val="2"/>
        </w:numPr>
      </w:pPr>
      <w:r>
        <w:rPr>
          <w:rFonts w:ascii="Arial" w:cs="Arial" w:eastAsia="Arial" w:hAnsi="Arial"/>
          <w:b w:val="false"/>
          <w:bCs w:val="false"/>
          <w:color w:val="1A2B3C"/>
          <w:sz w:val="22"/>
          <w:szCs w:val="22"/>
        </w:rPr>
        <w:t xml:space="preserve">Quality deals beat quantity of deals every single time.</w:t>
      </w:r>
    </w:p>
    <w:p>
      <w:pPr>
        <w:pStyle w:val="ListParagraph"/>
        <w:numPr>
          <w:ilvl w:val="0"/>
          <w:numId w:val="2"/>
        </w:numPr>
      </w:pPr>
      <w:r>
        <w:rPr>
          <w:rFonts w:ascii="Arial" w:cs="Arial" w:eastAsia="Arial" w:hAnsi="Arial"/>
          <w:b w:val="false"/>
          <w:bCs w:val="false"/>
          <w:color w:val="1A2B3C"/>
          <w:sz w:val="22"/>
          <w:szCs w:val="22"/>
        </w:rPr>
        <w:t xml:space="preserve">Understanding surface-level problems is not enough. We need to know who their partners are, what their company initiatives are, what their CEO believes, and where the disconnects between vision and reality are.</w:t>
      </w:r>
    </w:p>
    <w:p>
      <w:pPr>
        <w:pStyle w:val="ListParagraph"/>
        <w:numPr>
          <w:ilvl w:val="0"/>
          <w:numId w:val="2"/>
        </w:numPr>
      </w:pPr>
      <w:r>
        <w:rPr>
          <w:rFonts w:ascii="Arial" w:cs="Arial" w:eastAsia="Arial" w:hAnsi="Arial"/>
          <w:b w:val="false"/>
          <w:bCs w:val="false"/>
          <w:color w:val="1A2B3C"/>
          <w:sz w:val="22"/>
          <w:szCs w:val="22"/>
        </w:rPr>
        <w:t xml:space="preserve">Each rep needs 2–3 Diamond Target accounts to focus on. That beats dozens of unqualified deal-chasing activities every time.</w:t>
      </w:r>
    </w:p>
    <w:p>
      <w:pPr>
        <w:pStyle w:val="ListParagraph"/>
        <w:numPr>
          <w:ilvl w:val="0"/>
          <w:numId w:val="2"/>
        </w:numPr>
      </w:pPr>
      <w:r>
        <w:rPr>
          <w:rFonts w:ascii="Arial" w:cs="Arial" w:eastAsia="Arial" w:hAnsi="Arial"/>
          <w:b w:val="false"/>
          <w:bCs w:val="false"/>
          <w:color w:val="1A2B3C"/>
          <w:sz w:val="22"/>
          <w:szCs w:val="22"/>
        </w:rPr>
        <w:t xml:space="preserve">A customer must first truly understand, accept, and buy in to the idea of Ontology before any real deal conversations can be fruitful.</w:t>
      </w:r>
    </w:p>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3. Sales Process Beliefs</w:t>
      </w:r>
    </w:p>
    <w:p>
      <w:pPr>
        <w:pStyle w:val="ListParagraph"/>
        <w:numPr>
          <w:ilvl w:val="0"/>
          <w:numId w:val="2"/>
        </w:numPr>
      </w:pPr>
      <w:r>
        <w:rPr>
          <w:rFonts w:ascii="Arial" w:cs="Arial" w:eastAsia="Arial" w:hAnsi="Arial"/>
          <w:b w:val="false"/>
          <w:bCs w:val="false"/>
          <w:color w:val="1A2B3C"/>
          <w:sz w:val="22"/>
          <w:szCs w:val="22"/>
        </w:rPr>
        <w:t xml:space="preserve">The first call is never a sales call — it's a diagnostic. If we're pitching before we've mapped their specific semantic failure points, we've already lost the deal.</w:t>
      </w:r>
    </w:p>
    <w:p>
      <w:pPr>
        <w:pStyle w:val="ListParagraph"/>
        <w:numPr>
          <w:ilvl w:val="0"/>
          <w:numId w:val="2"/>
        </w:numPr>
      </w:pPr>
      <w:r>
        <w:rPr>
          <w:rFonts w:ascii="Arial" w:cs="Arial" w:eastAsia="Arial" w:hAnsi="Arial"/>
          <w:b w:val="false"/>
          <w:bCs w:val="false"/>
          <w:color w:val="1A2B3C"/>
          <w:sz w:val="22"/>
          <w:szCs w:val="22"/>
        </w:rPr>
        <w:t xml:space="preserve">Every deal has a 'moment of belief' — the specific conversation where the customer stops seeing BSS Magic as a product and starts seeing it as the solution to their architecture problem. Finding and engineering that moment is the rep's primary job.</w:t>
      </w:r>
    </w:p>
    <w:p>
      <w:pPr>
        <w:pStyle w:val="ListParagraph"/>
        <w:numPr>
          <w:ilvl w:val="0"/>
          <w:numId w:val="2"/>
        </w:numPr>
      </w:pPr>
      <w:r>
        <w:rPr>
          <w:rFonts w:ascii="Arial" w:cs="Arial" w:eastAsia="Arial" w:hAnsi="Arial"/>
          <w:b w:val="false"/>
          <w:bCs w:val="false"/>
          <w:color w:val="1A2B3C"/>
          <w:sz w:val="22"/>
          <w:szCs w:val="22"/>
        </w:rPr>
        <w:t xml:space="preserve">The POC is not a trial — it's a co-investment. A customer who hasn't felt the pain of their current architecture deeply enough won't commit to a POC seriously, and an unserious POC will never convert to revenue.</w:t>
      </w:r>
    </w:p>
    <w:p>
      <w:pPr>
        <w:pStyle w:val="ListParagraph"/>
        <w:numPr>
          <w:ilvl w:val="0"/>
          <w:numId w:val="2"/>
        </w:numPr>
      </w:pPr>
      <w:r>
        <w:rPr>
          <w:rFonts w:ascii="Arial" w:cs="Arial" w:eastAsia="Arial" w:hAnsi="Arial"/>
          <w:b w:val="false"/>
          <w:bCs w:val="false"/>
          <w:color w:val="1A2B3C"/>
          <w:sz w:val="22"/>
          <w:szCs w:val="22"/>
        </w:rPr>
        <w:t xml:space="preserve">We always need a champion who can explain ontology to their peers without us in the room. If we don't have that person, we don't have a real deal.</w:t>
      </w:r>
    </w:p>
    <w:p>
      <w:pPr>
        <w:pStyle w:val="ListParagraph"/>
        <w:numPr>
          <w:ilvl w:val="0"/>
          <w:numId w:val="2"/>
        </w:numPr>
      </w:pPr>
      <w:r>
        <w:rPr>
          <w:rFonts w:ascii="Arial" w:cs="Arial" w:eastAsia="Arial" w:hAnsi="Arial"/>
          <w:b w:val="false"/>
          <w:bCs w:val="false"/>
          <w:color w:val="1A2B3C"/>
          <w:sz w:val="22"/>
          <w:szCs w:val="22"/>
        </w:rPr>
        <w:t xml:space="preserve">Discovery must reach the executive layer. If we only understand the technical team's problems, we're one budget cycle away from losing the deal to someone with a C-suite relationship.</w:t>
      </w:r>
    </w:p>
    <w:p>
      <w:pPr>
        <w:pStyle w:val="ListParagraph"/>
        <w:numPr>
          <w:ilvl w:val="0"/>
          <w:numId w:val="2"/>
        </w:numPr>
      </w:pPr>
      <w:r>
        <w:rPr>
          <w:rFonts w:ascii="Arial" w:cs="Arial" w:eastAsia="Arial" w:hAnsi="Arial"/>
          <w:b w:val="false"/>
          <w:bCs w:val="false"/>
          <w:color w:val="1A2B3C"/>
          <w:sz w:val="22"/>
          <w:szCs w:val="22"/>
        </w:rPr>
        <w:t xml:space="preserve">A stalled deal is diagnostic data, not a pipeline problem. Stalling means either the customer hasn't accepted the ontology premise, or we haven't connected it to a business initiative that has a budget owner.</w:t>
      </w:r>
    </w:p>
    <w:p>
      <w:pPr>
        <w:pStyle w:val="ListParagraph"/>
        <w:numPr>
          <w:ilvl w:val="0"/>
          <w:numId w:val="2"/>
        </w:numPr>
      </w:pPr>
      <w:r>
        <w:rPr>
          <w:rFonts w:ascii="Arial" w:cs="Arial" w:eastAsia="Arial" w:hAnsi="Arial"/>
          <w:b w:val="false"/>
          <w:bCs w:val="false"/>
          <w:color w:val="1A2B3C"/>
          <w:sz w:val="22"/>
          <w:szCs w:val="22"/>
        </w:rPr>
        <w:t xml:space="preserve">Every competitive conversation should pivot to architecture, not features. We don't win on capability lists — we win when the customer understands why horizontal AI platforms fail at the operational layer.</w:t>
      </w:r>
    </w:p>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4. We Lose When...</w:t>
      </w:r>
    </w:p>
    <w:p>
      <w:pPr>
        <w:pStyle w:val="ListParagraph"/>
        <w:numPr>
          <w:ilvl w:val="0"/>
          <w:numId w:val="2"/>
        </w:numPr>
      </w:pPr>
      <w:r>
        <w:rPr>
          <w:rFonts w:ascii="Arial" w:cs="Arial" w:eastAsia="Arial" w:hAnsi="Arial"/>
          <w:b w:val="false"/>
          <w:bCs w:val="false"/>
          <w:color w:val="1A2B3C"/>
          <w:sz w:val="22"/>
          <w:szCs w:val="22"/>
        </w:rPr>
        <w:t xml:space="preserve">We go too technical too fast. Engineers love the ontology architecture — but engineers don't sign contracts. If the first three conversations are about semantic layers and state transitions, we've lost the business audience before the deal even starts.</w:t>
      </w:r>
    </w:p>
    <w:p>
      <w:pPr>
        <w:pStyle w:val="ListParagraph"/>
        <w:numPr>
          <w:ilvl w:val="0"/>
          <w:numId w:val="2"/>
        </w:numPr>
      </w:pPr>
      <w:r>
        <w:rPr>
          <w:rFonts w:ascii="Arial" w:cs="Arial" w:eastAsia="Arial" w:hAnsi="Arial"/>
          <w:b w:val="false"/>
          <w:bCs w:val="false"/>
          <w:color w:val="1A2B3C"/>
          <w:sz w:val="22"/>
          <w:szCs w:val="22"/>
        </w:rPr>
        <w:t xml:space="preserve">We stay too philosophical too long. The ontology premise is compelling, but philosophy doesn't have a budget code. Every conceptual conversation needs a bridge to a specific broken process, a failed initiative, or a real dollar amount sitting on the table.</w:t>
      </w:r>
    </w:p>
    <w:p>
      <w:pPr>
        <w:pStyle w:val="ListParagraph"/>
        <w:numPr>
          <w:ilvl w:val="0"/>
          <w:numId w:val="2"/>
        </w:numPr>
      </w:pPr>
      <w:r>
        <w:rPr>
          <w:rFonts w:ascii="Arial" w:cs="Arial" w:eastAsia="Arial" w:hAnsi="Arial"/>
          <w:b w:val="false"/>
          <w:bCs w:val="false"/>
          <w:color w:val="1A2B3C"/>
          <w:sz w:val="22"/>
          <w:szCs w:val="22"/>
        </w:rPr>
        <w:t xml:space="preserve">We can't find a beachhead. BSS Magic is not a big-bang deployment — it's a wedge. If we enter a deal without a clear, scoped starting point (one system, one use case, one pain), the customer sees an overwhelming transformation project and freezes. Small wins create the proof that funds the expansion.</w:t>
      </w:r>
    </w:p>
    <w:p>
      <w:pPr>
        <w:pStyle w:val="ListParagraph"/>
        <w:numPr>
          <w:ilvl w:val="0"/>
          <w:numId w:val="2"/>
        </w:numPr>
      </w:pPr>
      <w:r>
        <w:rPr>
          <w:rFonts w:ascii="Arial" w:cs="Arial" w:eastAsia="Arial" w:hAnsi="Arial"/>
          <w:b w:val="false"/>
          <w:bCs w:val="false"/>
          <w:color w:val="1A2B3C"/>
          <w:sz w:val="22"/>
          <w:szCs w:val="22"/>
        </w:rPr>
        <w:t xml:space="preserve">We lose executive buy-in on ontology before we've earned it. If a CTO or CEO hears 'we need to rethink how your systems understand each other' without first understanding why their current approach is failing, they'll default to their existing vendor relationships. The ontology conversation must come after the pain conversation, never before.</w:t>
      </w:r>
    </w:p>
    <w:p>
      <w:pPr>
        <w:pStyle w:val="ListParagraph"/>
        <w:numPr>
          <w:ilvl w:val="0"/>
          <w:numId w:val="2"/>
        </w:numPr>
      </w:pPr>
      <w:r>
        <w:rPr>
          <w:rFonts w:ascii="Arial" w:cs="Arial" w:eastAsia="Arial" w:hAnsi="Arial"/>
          <w:b w:val="false"/>
          <w:bCs w:val="false"/>
          <w:color w:val="1A2B3C"/>
          <w:sz w:val="22"/>
          <w:szCs w:val="22"/>
        </w:rPr>
        <w:t xml:space="preserve">We let technical champions sell internally without us. A mid-level architect who loves BSS Magic but can't articulate the business case upstairs will get defunded in the next budget review. We lose deals we thought we had because we never armed the right person with the right story.</w:t>
      </w:r>
    </w:p>
    <w:p>
      <w:pPr>
        <w:pStyle w:val="ListParagraph"/>
        <w:numPr>
          <w:ilvl w:val="0"/>
          <w:numId w:val="2"/>
        </w:numPr>
      </w:pPr>
      <w:r>
        <w:rPr>
          <w:rFonts w:ascii="Arial" w:cs="Arial" w:eastAsia="Arial" w:hAnsi="Arial"/>
          <w:b w:val="false"/>
          <w:bCs w:val="false"/>
          <w:color w:val="1A2B3C"/>
          <w:sz w:val="22"/>
          <w:szCs w:val="22"/>
        </w:rPr>
        <w:t xml:space="preserve">We compete on the wrong battlefield. If a deal turns into a feature comparison against a horizontal AI platform or a legacy BSS vendor, we've already lost the framing war. We win on architecture and philosophy — specifically, why every other approach fails when AI needs to act, not just advise.</w:t>
      </w:r>
    </w:p>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5. Sales Assets Library</w:t>
      </w:r>
    </w:p>
    <w:p>
      <w:pPr>
        <w:spacing w:after="100"/>
      </w:pPr>
      <w:r>
        <w:rPr>
          <w:rFonts w:ascii="Arial" w:cs="Arial" w:eastAsia="Arial" w:hAnsi="Arial"/>
          <w:color w:val="1A2B3C"/>
          <w:sz w:val="22"/>
          <w:szCs w:val="22"/>
        </w:rPr>
        <w:t xml:space="preserve">The following assets map to specific stages of our sales motion. Each should be customized per account — generic assets signal generic thinking.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r>
              <w:rPr>
                <w:rFonts w:ascii="Arial" w:cs="Arial" w:eastAsia="Arial" w:hAnsi="Arial"/>
                <w:b/>
                <w:bCs/>
                <w:color w:val="FFFFFF"/>
                <w:sz w:val="22"/>
                <w:szCs w:val="22"/>
              </w:rPr>
              <w:t xml:space="preserve">Asset</w:t>
            </w:r>
          </w:p>
        </w:tc>
        <w:tc>
          <w:tcPr>
            <w:tcW w:type="dxa" w:w="500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360"/>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r>
              <w:rPr>
                <w:rFonts w:ascii="Arial" w:cs="Arial" w:eastAsia="Arial" w:hAnsi="Arial"/>
                <w:b/>
                <w:bCs/>
                <w:color w:val="FFFFFF"/>
                <w:sz w:val="22"/>
                <w:szCs w:val="22"/>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 Demo Brief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Tailored walkthrough of BSS Magic for a specific prospect's architecture and pain 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Post-discovery, pre-POC</w:t>
            </w:r>
          </w:p>
        </w:tc>
      </w:tr>
      <w:tr>
        <w:tc>
          <w:tcPr>
            <w:tcW w:type="dxa" w:w="2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One Pager</w:t>
            </w:r>
          </w:p>
        </w:tc>
        <w:tc>
          <w:tcPr>
            <w:tcW w:type="dxa" w:w="5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High-level value proposition connecting ontology to a specific business outcome</w:t>
            </w:r>
          </w:p>
        </w:tc>
        <w:tc>
          <w:tcPr>
            <w:tcW w:type="dxa" w:w="236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Executive intros, cold outreach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Custom Deck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Full narrative arc from problem → ontology premise → BSS Magic solution → ROI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Champion enablement, C-suite meetings</w:t>
            </w:r>
          </w:p>
        </w:tc>
      </w:tr>
      <w:tr>
        <w:tc>
          <w:tcPr>
            <w:tcW w:type="dxa" w:w="2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Use Case Evaluation</w:t>
            </w:r>
          </w:p>
        </w:tc>
        <w:tc>
          <w:tcPr>
            <w:tcW w:type="dxa" w:w="5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Structured analysis of a prospect's target use case: complexity, fit, beachhead potential, and expansion path</w:t>
            </w:r>
          </w:p>
        </w:tc>
        <w:tc>
          <w:tcPr>
            <w:tcW w:type="dxa" w:w="236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POC scoping, technical qualification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Competitive Battle Card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Architecture-first reframe of why horizontal AI platforms and legacy BSS vendors fail at the operational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Competitive displacement deals</w:t>
            </w:r>
          </w:p>
        </w:tc>
      </w:tr>
      <w:tr>
        <w:tc>
          <w:tcPr>
            <w:tcW w:type="dxa" w:w="2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POC Proposal</w:t>
            </w:r>
          </w:p>
        </w:tc>
        <w:tc>
          <w:tcPr>
            <w:tcW w:type="dxa" w:w="500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Scoped 6–8 week engagement plan with defined success criteria and expansion milestones</w:t>
            </w:r>
          </w:p>
        </w:tc>
        <w:tc>
          <w:tcPr>
            <w:tcW w:type="dxa" w:w="2360"/>
            <w:tcBorders>
              <w:top w:val="single" w:color="CCCCCC" w:sz="1"/>
              <w:left w:val="single" w:color="CCCCCC" w:sz="1"/>
              <w:bottom w:val="single" w:color="CCCCCC" w:sz="1"/>
              <w:right w:val="single" w:color="CCCCCC" w:sz="1"/>
            </w:tcBorders>
            <w:shd w:fill="E8F4F6" w:val="clear"/>
            <w:tcMar>
              <w:top w:type="dxa" w:w="80"/>
              <w:left w:type="dxa" w:w="120"/>
              <w:bottom w:type="dxa" w:w="80"/>
              <w:right w:type="dxa" w:w="120"/>
            </w:tcMar>
          </w:tcPr>
          <w:p>
            <w:r>
              <w:rPr>
                <w:rFonts w:ascii="Arial" w:cs="Arial" w:eastAsia="Arial" w:hAnsi="Arial"/>
                <w:color w:val="1A2B3C"/>
                <w:sz w:val="20"/>
                <w:szCs w:val="20"/>
              </w:rPr>
              <w:t xml:space="preserve">Deal conversion, procurement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Champion Enablement Kit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Internal sell materials for technical champions to carry the ontology narrative upstairs without the rep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Deals where rep lacks exec access</w:t>
            </w:r>
          </w:p>
        </w:tc>
      </w:tr>
    </w:tbl>
    <w:p>
      <w:pPr>
        <w:spacing w:after="80"/>
      </w:pPr>
      <w:r>
        <w:t xml:space="preserve"/>
      </w:r>
    </w:p>
    <w:p>
      <w:pPr>
        <w:pStyle w:val="Heading1"/>
        <w:pBdr>
          <w:bottom w:val="single" w:color="0097A7" w:sz="4" w:space="6"/>
        </w:pBdr>
        <w:spacing w:after="200" w:before="400"/>
      </w:pPr>
      <w:r>
        <w:rPr>
          <w:rFonts w:ascii="Arial" w:cs="Arial" w:eastAsia="Arial" w:hAnsi="Arial"/>
          <w:b/>
          <w:bCs/>
          <w:color w:val="0097A7"/>
          <w:sz w:val="32"/>
          <w:szCs w:val="32"/>
        </w:rPr>
        <w:t xml:space="preserve">6. Key SPOVs to Internalize</w:t>
      </w:r>
    </w:p>
    <w:p>
      <w:pPr>
        <w:spacing w:after="80"/>
      </w:pPr>
      <w:r>
        <w:t xml:space="preserve"/>
      </w:r>
    </w:p>
    <w:p>
      <w:pPr>
        <w:pStyle w:val="Heading2"/>
        <w:spacing w:after="120" w:before="300"/>
      </w:pPr>
      <w:r>
        <w:rPr>
          <w:rFonts w:ascii="Arial" w:cs="Arial" w:eastAsia="Arial" w:hAnsi="Arial"/>
          <w:b/>
          <w:bCs/>
          <w:color w:val="1A2B3C"/>
          <w:sz w:val="26"/>
          <w:szCs w:val="26"/>
        </w:rPr>
        <w:t xml:space="preserve">SPOV 1: You solved semantic consistency where it doesn't matter.</w:t>
      </w:r>
    </w:p>
    <w:p>
      <w:pPr>
        <w:spacing w:after="100"/>
      </w:pPr>
      <w:r>
        <w:rPr>
          <w:rFonts w:ascii="Arial" w:cs="Arial" w:eastAsia="Arial" w:hAnsi="Arial"/>
          <w:color w:val="1A2B3C"/>
          <w:sz w:val="22"/>
          <w:szCs w:val="22"/>
        </w:rPr>
        <w:t xml:space="preserve">Data lakes achieve read-only consistency. AI can identify the at-risk subscriber but can't apply a retention offer, update billing, or provision a loyalty upgrade. The ontology solves semantic consistency in the operational layer — connected to billing, provisioning, CRM, and care systems with controls, not copies.</w:t>
      </w:r>
    </w:p>
    <w:p>
      <w:pPr>
        <w:spacing w:after="100"/>
      </w:pPr>
      <w:r>
        <w:rPr>
          <w:rFonts w:ascii="Arial" w:cs="Arial" w:eastAsia="Arial" w:hAnsi="Arial"/>
          <w:color w:val="1A2B3C"/>
          <w:sz w:val="22"/>
          <w:szCs w:val="22"/>
        </w:rPr>
        <w:t xml:space="preserve">Decision rule: If your semantic layer can't execute actions, it's analytics infrastructure, not AI infrastructure.</w:t>
      </w:r>
    </w:p>
    <w:p>
      <w:pPr>
        <w:spacing w:after="80"/>
      </w:pPr>
      <w:r>
        <w:t xml:space="preserve"/>
      </w:r>
    </w:p>
    <w:p>
      <w:pPr>
        <w:pStyle w:val="Heading2"/>
        <w:spacing w:after="120" w:before="300"/>
      </w:pPr>
      <w:r>
        <w:rPr>
          <w:rFonts w:ascii="Arial" w:cs="Arial" w:eastAsia="Arial" w:hAnsi="Arial"/>
          <w:b/>
          <w:bCs/>
          <w:color w:val="1A2B3C"/>
          <w:sz w:val="26"/>
          <w:szCs w:val="26"/>
        </w:rPr>
        <w:t xml:space="preserve">SPOV 2: Hallucination isn't a model problem. It's an architecture problem.</w:t>
      </w:r>
    </w:p>
    <w:p>
      <w:pPr>
        <w:spacing w:after="100"/>
      </w:pPr>
      <w:r>
        <w:rPr>
          <w:rFonts w:ascii="Arial" w:cs="Arial" w:eastAsia="Arial" w:hAnsi="Arial"/>
          <w:color w:val="1A2B3C"/>
          <w:sz w:val="22"/>
          <w:szCs w:val="22"/>
        </w:rPr>
        <w:t xml:space="preserve">When AI orchestrates billing changes, provisions services, and applies retention offers autonomously, hallucination is catastrophic. The ontology encodes which state transitions are valid, which entity relationships exist, and which actions are permissible given current state — making impossible actions architecturally unrepresentable.</w:t>
      </w:r>
    </w:p>
    <w:p>
      <w:pPr>
        <w:spacing w:after="100"/>
      </w:pPr>
      <w:r>
        <w:rPr>
          <w:rFonts w:ascii="Arial" w:cs="Arial" w:eastAsia="Arial" w:hAnsi="Arial"/>
          <w:color w:val="1A2B3C"/>
          <w:sz w:val="22"/>
          <w:szCs w:val="22"/>
        </w:rPr>
        <w:t xml:space="preserve">Decision rule: As AI agency increases, architectural constraints become more valuable than model improvements.</w:t>
      </w:r>
    </w:p>
    <w:p>
      <w:pPr>
        <w:spacing w:after="80"/>
      </w:pPr>
      <w:r>
        <w:t xml:space="preserve"/>
      </w:r>
    </w:p>
    <w:p>
      <w:pPr>
        <w:pBdr>
          <w:top w:val="single" w:color="0097A7" w:sz="4" w:space="6"/>
        </w:pBdr>
        <w:spacing w:before="400"/>
      </w:pPr>
      <w:r>
        <w:rPr>
          <w:rFonts w:ascii="Arial" w:cs="Arial" w:eastAsia="Arial" w:hAnsi="Arial"/>
          <w:i/>
          <w:iCs/>
          <w:color w:val="888888"/>
          <w:sz w:val="18"/>
          <w:szCs w:val="18"/>
        </w:rPr>
        <w:t xml:space="preserve">This document is a living artifact. Update after every major sales learning, win, or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97A7"/>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2026-02-27T17:59:58.816Z</dcterms:created>
  <dcterms:modified xsi:type="dcterms:W3CDTF">2026-02-27T17:59:58.817Z</dcterms:modified>
</cp:coreProperties>
</file>

<file path=docProps/custom.xml><?xml version="1.0" encoding="utf-8"?>
<Properties xmlns="http://schemas.openxmlformats.org/officeDocument/2006/custom-properties" xmlns:vt="http://schemas.openxmlformats.org/officeDocument/2006/docPropsVTypes"/>
</file>