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480"/>
        <w:ind/>
        <w:jc w:val="center"/>
        <w:rPr/>
      </w:pPr>
      <w:r>
        <w:rPr>
          <w:rFonts w:ascii="Arial" w:hAnsi="Arial"/>
          <w:b/>
          <w:sz w:val="32"/>
        </w:rPr>
        <w:t xml:space="preserve">PROJECT PROPOSAL:</w:t>
        <w:br/>
        <w:t xml:space="preserve">HIGH-RESOLUTION SPATIAL ANALYTICS FOR RIPARIAN ENCROACHMENT DETECTION</w:t>
      </w:r>
      <w:r/>
    </w:p>
    <w:p>
      <w:pPr>
        <w:pBdr/>
        <w:spacing w:after="480"/>
        <w:ind/>
        <w:jc w:val="center"/>
        <w:rPr/>
      </w:pPr>
      <w:r>
        <w:rPr>
          <w:rFonts w:ascii="Arial" w:hAnsi="Arial"/>
          <w:i/>
          <w:sz w:val="22"/>
        </w:rPr>
        <w:t xml:space="preserve">An Educational Stepping-Stone Framework from Random Forests to Deep Learning</w:t>
        <w:br/>
        <w:t xml:space="preserve">Structured According to CRISP-DM</w:t>
      </w:r>
      <w:r/>
    </w:p>
    <w:p>
      <w:pPr>
        <w:pStyle w:val="693"/>
        <w:keepNext w:val="true"/>
        <w:pBdr/>
        <w:spacing w:after="120" w:before="240"/>
        <w:ind/>
        <w:rPr/>
      </w:pPr>
      <w:r>
        <w:t xml:space="preserve">1. Business Understanding (Project Objectives &amp; Scope)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The Problem:</w:t>
      </w:r>
      <w:r>
        <w:rPr>
          <w:rFonts w:ascii="Arial" w:hAnsi="Arial"/>
          <w:sz w:val="22"/>
        </w:rPr>
        <w:t xml:space="preserve"> Traditional government remote-sensing models often rely on coarse or medium-resolution imagery. This leads to severe underestimations of informal structures inside protected riparian zones because clus</w:t>
      </w:r>
      <w:r>
        <w:rPr>
          <w:rFonts w:ascii="Arial" w:hAnsi="Arial"/>
          <w:sz w:val="22"/>
        </w:rPr>
        <w:t xml:space="preserve">tered homes blend together into a single pixel grid (e.g., detecting only 118 structures when 700 actually exist). Conversely, manual community ground assessments are highly accurate but resource-intensive, slow, and unsafe during extreme weather events.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Project Objective:</w:t>
      </w:r>
      <w:r>
        <w:rPr>
          <w:rFonts w:ascii="Arial" w:hAnsi="Arial"/>
          <w:sz w:val="22"/>
        </w:rPr>
        <w:t xml:space="preserve"> To develop a scalable, dual-stage machine learning pipeline that bridges this data gap. The team will build an educational bridge starting with a fam</w:t>
      </w:r>
      <w:r>
        <w:rPr>
          <w:rFonts w:ascii="Arial" w:hAnsi="Arial"/>
          <w:sz w:val="22"/>
        </w:rPr>
        <w:t xml:space="preserve">iliar pixel-level classifier (Random Forest) and progressing to an object-level counter (Transfer Learning via Deep Learning). The goal is to accurately isolate and approximate the real-world count of 700 structures within a 60-meter riparian buffer zone.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Success Criteria:</w:t>
      </w:r>
      <w:r>
        <w:rPr>
          <w:rFonts w:ascii="Arial" w:hAnsi="Arial"/>
          <w:sz w:val="22"/>
        </w:rPr>
        <w:t xml:space="preserve"> Successfully segment tightly packed or </w:t>
      </w:r>
      <w:r>
        <w:rPr>
          <w:rFonts w:ascii="Arial" w:hAnsi="Arial"/>
          <w:sz w:val="22"/>
        </w:rPr>
        <w:t xml:space="preserve">touching corrugated iron roofs without merging them into single 'blobs'. The baseline Random Forest will act as a material 'highlighter' (identifying pixels), while the deep learning champion model will act as the 'counter' (identifying individual houses).</w:t>
      </w:r>
      <w:r/>
    </w:p>
    <w:p>
      <w:pPr>
        <w:pStyle w:val="693"/>
        <w:keepNext w:val="true"/>
        <w:pBdr/>
        <w:spacing w:after="120" w:before="240"/>
        <w:ind/>
        <w:rPr/>
      </w:pPr>
      <w:r>
        <w:t xml:space="preserve">2. Data Understanding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Imagery:</w:t>
      </w:r>
      <w:r>
        <w:rPr>
          <w:rFonts w:ascii="Arial" w:hAnsi="Arial"/>
          <w:sz w:val="22"/>
        </w:rPr>
        <w:t xml:space="preserve"> High-resolution RGB spatial imagery extracted via the Google Earth Engine (GEE) API, Mapbox Satellite API, or Maxar Open Data Program.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Vector Layers (Hydrography):</w:t>
      </w:r>
      <w:r>
        <w:rPr>
          <w:rFonts w:ascii="Arial" w:hAnsi="Arial"/>
          <w:sz w:val="22"/>
        </w:rPr>
        <w:t xml:space="preserve"> OpenStreetMap (OSM) river lines and polyline vectors for the Nairobi River / Kasarani basin tributaries.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Labels (Ground Truth):</w:t>
      </w:r>
      <w:r>
        <w:rPr>
          <w:rFonts w:ascii="Arial" w:hAnsi="Arial"/>
          <w:sz w:val="22"/>
        </w:rPr>
        <w:t xml:space="preserve"> Human-annotated building footprints derived from OpenStreetMap history, Microsoft Global Building Footprints, and localized manual bounding boxes to mimic the Pamoja Trust community census.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Data Exploration &amp; Challenges:</w:t>
      </w:r>
      <w:r>
        <w:rPr>
          <w:rFonts w:ascii="Arial" w:hAnsi="Arial"/>
          <w:sz w:val="22"/>
        </w:rPr>
        <w:t xml:space="preserve"> Informal structures feature high spatial density and minimal gaps, making isolation difficult. Additionally, rusted metal roofs share identical color spectrums with bare dirt roads, posing a high false-positive risk for basic pixel classifiers.</w:t>
      </w:r>
      <w:r/>
    </w:p>
    <w:p>
      <w:pPr>
        <w:pStyle w:val="693"/>
        <w:keepNext w:val="true"/>
        <w:pBdr/>
        <w:spacing w:after="120" w:before="240"/>
        <w:ind/>
        <w:rPr/>
      </w:pPr>
      <w:r>
        <w:t xml:space="preserve">3. Data Preparation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Riparian Buffer Generation:</w:t>
      </w:r>
      <w:r>
        <w:rPr>
          <w:rFonts w:ascii="Arial" w:hAnsi="Arial"/>
          <w:sz w:val="22"/>
        </w:rPr>
        <w:t xml:space="preserve"> Utilizing Python's 'geopandas' and 'shapely' libraries to convert river polylines into a clean, unified 60-meter polygon buffer mask matching local riparian laws.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Spatial Cropping &amp; Tiling:</w:t>
      </w:r>
      <w:r>
        <w:rPr>
          <w:rFonts w:ascii="Arial" w:hAnsi="Arial"/>
          <w:sz w:val="22"/>
        </w:rPr>
        <w:t xml:space="preserve"> Masking and cropping massive satellite rasters exactly to the 60m buffer zone, then slicing the target area into non-overlapping 640 * 640 pixel image tiles to feed the models.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Feature Engineering (Random Forest Baseline):</w:t>
      </w:r>
      <w:r>
        <w:rPr>
          <w:rFonts w:ascii="Arial" w:hAnsi="Arial"/>
          <w:sz w:val="22"/>
        </w:rPr>
        <w:t xml:space="preserve"> Extracting Red, Green, and Blue pixel values. For the Random Forest baseline, a Gray-Level Co-occurrence Matrix (GLCM) will be computed to capture structural textures (rough informal roofs vs. smooth water/roads).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Label Mapping &amp; Augmentation:</w:t>
      </w:r>
      <w:r>
        <w:rPr>
          <w:rFonts w:ascii="Arial" w:hAnsi="Arial"/>
          <w:sz w:val="22"/>
        </w:rPr>
        <w:t xml:space="preserve"> Converting vector coordinates into localized bounding boxes and segmentation masks for deep learning tiles, augmented with strategic rotations and contrast adjustments to simulate shifting satellite shadows.</w:t>
      </w:r>
      <w:r/>
    </w:p>
    <w:p>
      <w:pPr>
        <w:pStyle w:val="693"/>
        <w:keepNext w:val="true"/>
        <w:pBdr/>
        <w:spacing w:after="120" w:before="240"/>
        <w:ind/>
        <w:rPr/>
      </w:pPr>
      <w:r>
        <w:t xml:space="preserve">4. Modeling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Strategy:</w:t>
      </w:r>
      <w:r>
        <w:rPr>
          <w:rFonts w:ascii="Arial" w:hAnsi="Arial"/>
          <w:sz w:val="22"/>
        </w:rPr>
        <w:t xml:space="preserve"> The team will execute a two-phased approach to maximize learning and compare traditional machine learning against advanced deep learning frameworks.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Phase 1 (Familiar Baseline):</w:t>
      </w:r>
      <w:r>
        <w:rPr>
          <w:rFonts w:ascii="Arial" w:hAnsi="Arial"/>
          <w:sz w:val="22"/>
        </w:rPr>
        <w:t xml:space="preserve"> A pixel-level classifier using Random Fo</w:t>
      </w:r>
      <w:r>
        <w:rPr>
          <w:rFonts w:ascii="Arial" w:hAnsi="Arial"/>
          <w:sz w:val="22"/>
        </w:rPr>
        <w:t xml:space="preserve">rest. It evaluates color and texture features to classify individual pixels into categories: 'Roofing Material', 'Vegetation', or 'Water'. This sets a reliable baseline for material identification but lacks the spatial awareness to separate adjacent homes.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Phase 2 (Advanced Transfer Learning Leap):</w:t>
      </w:r>
      <w:r>
        <w:rPr>
          <w:rFonts w:ascii="Arial" w:hAnsi="Arial"/>
          <w:sz w:val="22"/>
        </w:rPr>
        <w:t xml:space="preserve"> An object-lev</w:t>
      </w:r>
      <w:r>
        <w:rPr>
          <w:rFonts w:ascii="Arial" w:hAnsi="Arial"/>
          <w:sz w:val="22"/>
        </w:rPr>
        <w:t xml:space="preserve">el instance segmentation network using YOLOv8-seg or Mask R-CNN. This network utilizes pre-trained geometric knowledge to detect boundaries and shapes, moving from simple material identification to counting individual, non-orthogonal structures distinctly.</w:t>
      </w:r>
      <w:r/>
    </w:p>
    <w:p>
      <w:pPr>
        <w:pStyle w:val="693"/>
        <w:keepNext w:val="true"/>
        <w:pBdr/>
        <w:spacing w:after="120" w:before="240"/>
        <w:ind/>
        <w:rPr/>
      </w:pPr>
      <w:r>
        <w:t xml:space="preserve">5. Evaluation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Technical Metrics:</w:t>
      </w:r>
      <w:r>
        <w:rPr>
          <w:rFonts w:ascii="Arial" w:hAnsi="Arial"/>
          <w:sz w:val="22"/>
        </w:rPr>
        <w:t xml:space="preserve"> The Random Forest will be evaluated using pixel-level Precision, Recall, and F1-Score. The Deep Learning model will utilize Mean Average Precision at Intersection over Union thresholds (mAP@0.5 and mAP@0.5:0.95).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Domain Metric:</w:t>
      </w:r>
      <w:r>
        <w:rPr>
          <w:rFonts w:ascii="Arial" w:hAnsi="Arial"/>
          <w:sz w:val="22"/>
        </w:rPr>
        <w:t xml:space="preserve"> Absolute Error in Object Count (|Predicted Count - Manual Count|) inside the Kasarani riparian zone, assessing if the champion model successfully scales to capture the 700 structures verified on the ground.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• Validation Strategy:</w:t>
      </w:r>
      <w:r>
        <w:rPr>
          <w:rFonts w:ascii="Arial" w:hAnsi="Arial"/>
          <w:sz w:val="22"/>
        </w:rPr>
        <w:t xml:space="preserve"> A strict 70/15/15 spatial split for Training, Validation, and Testing image tiles, ensuring the models are evaluated on dense settlement patterns they have never seen before.</w:t>
      </w:r>
      <w:r/>
    </w:p>
    <w:p>
      <w:pPr>
        <w:pStyle w:val="693"/>
        <w:keepNext w:val="true"/>
        <w:pBdr/>
        <w:spacing w:after="120" w:before="240"/>
        <w:ind/>
        <w:rPr/>
      </w:pPr>
      <w:r>
        <w:t xml:space="preserve">6. Deployment &amp; Project Communication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Non-Technical Analogy:</w:t>
      </w:r>
      <w:r>
        <w:rPr>
          <w:rFonts w:ascii="Arial" w:hAnsi="Arial"/>
          <w:sz w:val="22"/>
        </w:rPr>
        <w:t xml:space="preserve"> To explain this highly technical project to non-technical stakeholders or professors, the group will use a simple photography analogy. Imagine taking a photo of a crowded stadium from a helicopter. A basic model looks at the blur and says 'that is a b</w:t>
      </w:r>
      <w:r>
        <w:rPr>
          <w:rFonts w:ascii="Arial" w:hAnsi="Arial"/>
          <w:sz w:val="22"/>
        </w:rPr>
        <w:t xml:space="preserve">ig crowd' (grouping everything together into 118 blobs). Our dual-framework approach acts like a magnifying glass combined with a smart assistant who traces the brim of every single hat, counting them one by one to reveal the true count of 700 individuals.</w:t>
      </w:r>
      <w:r/>
    </w:p>
    <w:p>
      <w:pPr>
        <w:pBdr/>
        <w:spacing w:after="120" w:line="276" w:lineRule="auto"/>
        <w:ind/>
        <w:rPr/>
      </w:pPr>
      <w:r>
        <w:rPr>
          <w:rFonts w:ascii="Arial" w:hAnsi="Arial"/>
          <w:b/>
          <w:sz w:val="22"/>
        </w:rPr>
        <w:t xml:space="preserve">Deliverable:</w:t>
      </w:r>
      <w:r>
        <w:rPr>
          <w:rFonts w:ascii="Arial" w:hAnsi="Arial"/>
          <w:sz w:val="22"/>
        </w:rPr>
        <w:t xml:space="preserve"> A clean, reproducible Jupyter Notebook pipeline and an interactive localized Streamlit dashboard where a user can input a raw satellite coordinate and visualize the 60m buffer zone, highlighted building footprints, and a live automated digital counter.</w:t>
      </w:r>
      <w:r/>
    </w:p>
    <w:p>
      <w:pPr>
        <w:pStyle w:val="693"/>
        <w:keepNext w:val="true"/>
        <w:pBdr/>
        <w:spacing w:after="120" w:before="24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2026-08-18T18:10:07Z</dcterms:modified>
  <cp:category/>
</cp:coreProperties>
</file>