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772" w:rsidRDefault="00041AF2" w:rsidP="00041AF2">
      <w:pPr>
        <w:jc w:val="center"/>
        <w:rPr>
          <w:b/>
          <w:sz w:val="36"/>
          <w:szCs w:val="36"/>
        </w:rPr>
      </w:pPr>
      <w:r>
        <w:rPr>
          <w:b/>
          <w:sz w:val="36"/>
          <w:szCs w:val="36"/>
        </w:rPr>
        <w:t>Universal Course Grade Point Equivalents</w:t>
      </w:r>
    </w:p>
    <w:p w:rsidR="00041AF2" w:rsidRDefault="00041AF2" w:rsidP="00041AF2">
      <w:pPr>
        <w:pStyle w:val="Title"/>
        <w:jc w:val="center"/>
      </w:pPr>
      <w:r>
        <w:t>FINAL PERCENT SCORE CONVERSION</w:t>
      </w:r>
    </w:p>
    <w:tbl>
      <w:tblPr>
        <w:tblStyle w:val="TableGrid"/>
        <w:tblW w:w="0" w:type="auto"/>
        <w:tblLook w:val="04A0" w:firstRow="1" w:lastRow="0" w:firstColumn="1" w:lastColumn="0" w:noHBand="0" w:noVBand="1"/>
      </w:tblPr>
      <w:tblGrid>
        <w:gridCol w:w="3192"/>
        <w:gridCol w:w="3192"/>
        <w:gridCol w:w="3192"/>
      </w:tblGrid>
      <w:tr w:rsidR="00041AF2" w:rsidTr="00041AF2">
        <w:tc>
          <w:tcPr>
            <w:tcW w:w="3192" w:type="dxa"/>
            <w:tcBorders>
              <w:top w:val="single" w:sz="4" w:space="0" w:color="auto"/>
              <w:left w:val="single" w:sz="4" w:space="0" w:color="auto"/>
              <w:bottom w:val="single" w:sz="4" w:space="0" w:color="auto"/>
              <w:right w:val="single" w:sz="4" w:space="0" w:color="auto"/>
            </w:tcBorders>
          </w:tcPr>
          <w:p w:rsidR="00041AF2" w:rsidRPr="00041AF2" w:rsidRDefault="00041AF2">
            <w:pPr>
              <w:jc w:val="center"/>
              <w:rPr>
                <w:b/>
                <w:sz w:val="40"/>
                <w:szCs w:val="40"/>
              </w:rPr>
            </w:pPr>
            <w:r>
              <w:rPr>
                <w:b/>
                <w:sz w:val="40"/>
                <w:szCs w:val="40"/>
              </w:rPr>
              <w:t>Grade</w:t>
            </w:r>
          </w:p>
        </w:tc>
        <w:tc>
          <w:tcPr>
            <w:tcW w:w="3192" w:type="dxa"/>
            <w:tcBorders>
              <w:top w:val="single" w:sz="4" w:space="0" w:color="auto"/>
              <w:left w:val="single" w:sz="4" w:space="0" w:color="auto"/>
              <w:bottom w:val="single" w:sz="4" w:space="0" w:color="auto"/>
              <w:right w:val="single" w:sz="4" w:space="0" w:color="auto"/>
            </w:tcBorders>
          </w:tcPr>
          <w:p w:rsidR="00041AF2" w:rsidRPr="00041AF2" w:rsidRDefault="00041AF2" w:rsidP="00041AF2">
            <w:pPr>
              <w:jc w:val="center"/>
              <w:rPr>
                <w:sz w:val="40"/>
                <w:szCs w:val="40"/>
              </w:rPr>
            </w:pPr>
            <w:r>
              <w:rPr>
                <w:sz w:val="40"/>
                <w:szCs w:val="40"/>
              </w:rPr>
              <w:t>GPE</w:t>
            </w:r>
          </w:p>
        </w:tc>
        <w:tc>
          <w:tcPr>
            <w:tcW w:w="3192" w:type="dxa"/>
            <w:tcBorders>
              <w:top w:val="single" w:sz="4" w:space="0" w:color="auto"/>
              <w:left w:val="single" w:sz="4" w:space="0" w:color="auto"/>
              <w:bottom w:val="single" w:sz="4" w:space="0" w:color="auto"/>
              <w:right w:val="single" w:sz="4" w:space="0" w:color="auto"/>
            </w:tcBorders>
          </w:tcPr>
          <w:p w:rsidR="00041AF2" w:rsidRPr="00F138F2" w:rsidRDefault="00041AF2">
            <w:pPr>
              <w:jc w:val="center"/>
              <w:rPr>
                <w:color w:val="00FF00"/>
                <w:sz w:val="40"/>
                <w:szCs w:val="40"/>
              </w:rPr>
            </w:pPr>
            <w:r>
              <w:rPr>
                <w:sz w:val="40"/>
                <w:szCs w:val="40"/>
              </w:rPr>
              <w:t>Percent</w:t>
            </w:r>
          </w:p>
        </w:tc>
      </w:tr>
      <w:tr w:rsidR="00041AF2" w:rsidTr="00041AF2">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041AF2">
            <w:pPr>
              <w:jc w:val="center"/>
              <w:rPr>
                <w:b/>
                <w:color w:val="000000" w:themeColor="text1"/>
                <w:sz w:val="62"/>
                <w:szCs w:val="62"/>
              </w:rPr>
            </w:pPr>
            <w:r w:rsidRPr="00DE1B5F">
              <w:rPr>
                <w:b/>
                <w:color w:val="000000" w:themeColor="text1"/>
                <w:sz w:val="62"/>
                <w:szCs w:val="62"/>
              </w:rPr>
              <w:t>F</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041AF2" w:rsidP="00041AF2">
            <w:pPr>
              <w:jc w:val="center"/>
              <w:rPr>
                <w:color w:val="000000" w:themeColor="text1"/>
                <w:sz w:val="62"/>
                <w:szCs w:val="62"/>
              </w:rPr>
            </w:pPr>
            <w:r w:rsidRPr="00DE1B5F">
              <w:rPr>
                <w:color w:val="000000" w:themeColor="text1"/>
                <w:sz w:val="62"/>
                <w:szCs w:val="62"/>
              </w:rPr>
              <w:t>0</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041AF2">
            <w:pPr>
              <w:jc w:val="center"/>
              <w:rPr>
                <w:color w:val="000000" w:themeColor="text1"/>
                <w:sz w:val="62"/>
                <w:szCs w:val="62"/>
              </w:rPr>
            </w:pPr>
            <w:r w:rsidRPr="00DE1B5F">
              <w:rPr>
                <w:color w:val="000000" w:themeColor="text1"/>
                <w:sz w:val="62"/>
                <w:szCs w:val="62"/>
              </w:rPr>
              <w:t>0</w:t>
            </w:r>
          </w:p>
        </w:tc>
      </w:tr>
      <w:tr w:rsidR="00041AF2" w:rsidTr="00041AF2">
        <w:tc>
          <w:tcPr>
            <w:tcW w:w="3192" w:type="dxa"/>
            <w:tcBorders>
              <w:top w:val="single" w:sz="4" w:space="0" w:color="auto"/>
              <w:left w:val="single" w:sz="4" w:space="0" w:color="auto"/>
              <w:bottom w:val="single" w:sz="4" w:space="0" w:color="auto"/>
              <w:right w:val="single" w:sz="4" w:space="0" w:color="auto"/>
            </w:tcBorders>
          </w:tcPr>
          <w:p w:rsidR="00041AF2" w:rsidRPr="00DE1B5F" w:rsidRDefault="00041AF2">
            <w:pPr>
              <w:jc w:val="center"/>
              <w:rPr>
                <w:b/>
                <w:color w:val="FF0005"/>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pPr>
            <w:r w:rsidRPr="00DE1B5F">
              <w:rPr>
                <w:b/>
                <w:color w:val="FF0005"/>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t>D-</w:t>
            </w:r>
          </w:p>
        </w:tc>
        <w:tc>
          <w:tcPr>
            <w:tcW w:w="3192" w:type="dxa"/>
            <w:tcBorders>
              <w:top w:val="single" w:sz="4" w:space="0" w:color="auto"/>
              <w:left w:val="single" w:sz="4" w:space="0" w:color="auto"/>
              <w:bottom w:val="single" w:sz="4" w:space="0" w:color="auto"/>
              <w:right w:val="single" w:sz="4" w:space="0" w:color="auto"/>
            </w:tcBorders>
          </w:tcPr>
          <w:p w:rsidR="00041AF2" w:rsidRPr="00DE1B5F" w:rsidRDefault="00BB53A2">
            <w:pPr>
              <w:jc w:val="center"/>
              <w:rPr>
                <w:color w:val="FF0005"/>
                <w:sz w:val="62"/>
                <w:szCs w:val="62"/>
              </w:rPr>
            </w:pPr>
            <w:r>
              <w:rPr>
                <w:color w:val="FF0005"/>
                <w:sz w:val="62"/>
                <w:szCs w:val="62"/>
              </w:rPr>
              <w:t>14</w:t>
            </w:r>
          </w:p>
        </w:tc>
        <w:tc>
          <w:tcPr>
            <w:tcW w:w="3192" w:type="dxa"/>
            <w:tcBorders>
              <w:top w:val="single" w:sz="4" w:space="0" w:color="auto"/>
              <w:left w:val="single" w:sz="4" w:space="0" w:color="auto"/>
              <w:bottom w:val="single" w:sz="4" w:space="0" w:color="auto"/>
              <w:right w:val="single" w:sz="4" w:space="0" w:color="auto"/>
            </w:tcBorders>
          </w:tcPr>
          <w:p w:rsidR="00041AF2" w:rsidRPr="00DE1B5F" w:rsidRDefault="00041AF2">
            <w:pPr>
              <w:jc w:val="center"/>
              <w:rPr>
                <w:color w:val="FF0005"/>
                <w:sz w:val="62"/>
                <w:szCs w:val="62"/>
              </w:rPr>
            </w:pPr>
            <w:r w:rsidRPr="00DE1B5F">
              <w:rPr>
                <w:color w:val="FF0005"/>
                <w:sz w:val="62"/>
                <w:szCs w:val="62"/>
                <w14:textFill>
                  <w14:solidFill>
                    <w14:srgbClr w14:val="FF0005">
                      <w14:lumMod w14:val="50000"/>
                    </w14:srgbClr>
                  </w14:solidFill>
                </w14:textFill>
              </w:rPr>
              <w:t>35</w:t>
            </w:r>
          </w:p>
        </w:tc>
      </w:tr>
      <w:tr w:rsidR="00041AF2" w:rsidTr="00041AF2">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041AF2">
            <w:pPr>
              <w:jc w:val="center"/>
              <w:rPr>
                <w:b/>
                <w:color w:val="E63205"/>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pPr>
            <w:r w:rsidRPr="00DE1B5F">
              <w:rPr>
                <w:b/>
                <w:color w:val="E63205"/>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t>D</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041AF2">
            <w:pPr>
              <w:jc w:val="center"/>
              <w:rPr>
                <w:color w:val="E63205"/>
                <w:sz w:val="62"/>
                <w:szCs w:val="62"/>
              </w:rPr>
            </w:pPr>
            <w:r w:rsidRPr="00DE1B5F">
              <w:rPr>
                <w:color w:val="E63205"/>
                <w:sz w:val="62"/>
                <w:szCs w:val="62"/>
              </w:rPr>
              <w:t>16</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041AF2">
            <w:pPr>
              <w:jc w:val="center"/>
              <w:rPr>
                <w:color w:val="E63205"/>
                <w:sz w:val="62"/>
                <w:szCs w:val="62"/>
              </w:rPr>
            </w:pPr>
            <w:r w:rsidRPr="00DE1B5F">
              <w:rPr>
                <w:color w:val="E63205"/>
                <w:sz w:val="62"/>
                <w:szCs w:val="62"/>
              </w:rPr>
              <w:t>40</w:t>
            </w:r>
          </w:p>
        </w:tc>
      </w:tr>
      <w:tr w:rsidR="00041AF2" w:rsidTr="00041AF2">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041AF2">
            <w:pPr>
              <w:jc w:val="center"/>
              <w:rPr>
                <w:b/>
                <w:color w:val="C85005"/>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pPr>
            <w:r w:rsidRPr="00DE1B5F">
              <w:rPr>
                <w:b/>
                <w:color w:val="C85005"/>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t>D+</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BB53A2">
            <w:pPr>
              <w:jc w:val="center"/>
              <w:rPr>
                <w:color w:val="C85005"/>
                <w:sz w:val="62"/>
                <w:szCs w:val="62"/>
              </w:rPr>
            </w:pPr>
            <w:r>
              <w:rPr>
                <w:color w:val="C85005"/>
                <w:sz w:val="62"/>
                <w:szCs w:val="62"/>
              </w:rPr>
              <w:t>18</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BB53A2">
            <w:pPr>
              <w:jc w:val="center"/>
              <w:rPr>
                <w:color w:val="C85005"/>
                <w:sz w:val="62"/>
                <w:szCs w:val="62"/>
              </w:rPr>
            </w:pPr>
            <w:r>
              <w:rPr>
                <w:color w:val="C85005"/>
                <w:sz w:val="62"/>
                <w:szCs w:val="62"/>
              </w:rPr>
              <w:t>45</w:t>
            </w:r>
          </w:p>
        </w:tc>
      </w:tr>
      <w:tr w:rsidR="00041AF2" w:rsidTr="00041AF2">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041AF2">
            <w:pPr>
              <w:jc w:val="center"/>
              <w:rPr>
                <w:b/>
                <w:color w:val="AA6405"/>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pPr>
            <w:r w:rsidRPr="00DE1B5F">
              <w:rPr>
                <w:b/>
                <w:color w:val="AA6405"/>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t>C-</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BB53A2">
            <w:pPr>
              <w:jc w:val="center"/>
              <w:rPr>
                <w:color w:val="AA6405"/>
                <w:sz w:val="62"/>
                <w:szCs w:val="62"/>
              </w:rPr>
            </w:pPr>
            <w:r>
              <w:rPr>
                <w:color w:val="AA6405"/>
                <w:sz w:val="62"/>
                <w:szCs w:val="62"/>
              </w:rPr>
              <w:t>22</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BB53A2">
            <w:pPr>
              <w:jc w:val="center"/>
              <w:rPr>
                <w:color w:val="AA6405"/>
                <w:sz w:val="62"/>
                <w:szCs w:val="62"/>
              </w:rPr>
            </w:pPr>
            <w:r>
              <w:rPr>
                <w:color w:val="AA6405"/>
                <w:sz w:val="62"/>
                <w:szCs w:val="62"/>
              </w:rPr>
              <w:t>55</w:t>
            </w:r>
          </w:p>
        </w:tc>
      </w:tr>
      <w:tr w:rsidR="00041AF2" w:rsidTr="00041AF2">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041AF2">
            <w:pPr>
              <w:jc w:val="center"/>
              <w:rPr>
                <w:b/>
                <w:color w:val="967805"/>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pPr>
            <w:r w:rsidRPr="00DE1B5F">
              <w:rPr>
                <w:b/>
                <w:color w:val="967805"/>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t>C</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041AF2">
            <w:pPr>
              <w:jc w:val="center"/>
              <w:rPr>
                <w:color w:val="967805"/>
                <w:sz w:val="62"/>
                <w:szCs w:val="62"/>
              </w:rPr>
            </w:pPr>
            <w:r w:rsidRPr="00DE1B5F">
              <w:rPr>
                <w:color w:val="967805"/>
                <w:sz w:val="62"/>
                <w:szCs w:val="62"/>
              </w:rPr>
              <w:t>24</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041AF2">
            <w:pPr>
              <w:jc w:val="center"/>
              <w:rPr>
                <w:color w:val="967805"/>
                <w:sz w:val="62"/>
                <w:szCs w:val="62"/>
              </w:rPr>
            </w:pPr>
            <w:r w:rsidRPr="00DE1B5F">
              <w:rPr>
                <w:color w:val="967805"/>
                <w:sz w:val="62"/>
                <w:szCs w:val="62"/>
              </w:rPr>
              <w:t>60</w:t>
            </w:r>
          </w:p>
        </w:tc>
      </w:tr>
      <w:tr w:rsidR="00041AF2" w:rsidTr="00041AF2">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041AF2">
            <w:pPr>
              <w:jc w:val="center"/>
              <w:rPr>
                <w:b/>
                <w:color w:val="82A005"/>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pPr>
            <w:r w:rsidRPr="00DE1B5F">
              <w:rPr>
                <w:b/>
                <w:color w:val="82A005"/>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t>C+</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647E7B">
            <w:pPr>
              <w:jc w:val="center"/>
              <w:rPr>
                <w:color w:val="82A005"/>
                <w:sz w:val="62"/>
                <w:szCs w:val="62"/>
              </w:rPr>
            </w:pPr>
            <w:r>
              <w:rPr>
                <w:color w:val="82A005"/>
                <w:sz w:val="62"/>
                <w:szCs w:val="62"/>
              </w:rPr>
              <w:t>26</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647E7B">
            <w:pPr>
              <w:jc w:val="center"/>
              <w:rPr>
                <w:color w:val="82A005"/>
                <w:sz w:val="62"/>
                <w:szCs w:val="62"/>
              </w:rPr>
            </w:pPr>
            <w:r>
              <w:rPr>
                <w:color w:val="82A005"/>
                <w:sz w:val="62"/>
                <w:szCs w:val="62"/>
              </w:rPr>
              <w:t>65</w:t>
            </w:r>
          </w:p>
        </w:tc>
      </w:tr>
      <w:tr w:rsidR="00041AF2" w:rsidTr="00041AF2">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041AF2">
            <w:pPr>
              <w:jc w:val="center"/>
              <w:rPr>
                <w:b/>
                <w:color w:val="64B405"/>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pPr>
            <w:r w:rsidRPr="00DE1B5F">
              <w:rPr>
                <w:b/>
                <w:color w:val="64B405"/>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t>B-</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BB53A2">
            <w:pPr>
              <w:jc w:val="center"/>
              <w:rPr>
                <w:color w:val="64B405"/>
                <w:sz w:val="62"/>
                <w:szCs w:val="62"/>
              </w:rPr>
            </w:pPr>
            <w:r>
              <w:rPr>
                <w:color w:val="64B405"/>
                <w:sz w:val="62"/>
                <w:szCs w:val="62"/>
              </w:rPr>
              <w:t>29</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BB53A2">
            <w:pPr>
              <w:jc w:val="center"/>
              <w:rPr>
                <w:color w:val="64B405"/>
                <w:sz w:val="62"/>
                <w:szCs w:val="62"/>
              </w:rPr>
            </w:pPr>
            <w:r>
              <w:rPr>
                <w:color w:val="64B405"/>
                <w:sz w:val="62"/>
                <w:szCs w:val="62"/>
              </w:rPr>
              <w:t>72.5</w:t>
            </w:r>
          </w:p>
        </w:tc>
      </w:tr>
      <w:tr w:rsidR="00041AF2" w:rsidTr="00041AF2">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041AF2">
            <w:pPr>
              <w:jc w:val="center"/>
              <w:rPr>
                <w:b/>
                <w:color w:val="32C805"/>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pPr>
            <w:r w:rsidRPr="00DE1B5F">
              <w:rPr>
                <w:b/>
                <w:color w:val="32C805"/>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t>B</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CB7BA1">
            <w:pPr>
              <w:jc w:val="center"/>
              <w:rPr>
                <w:color w:val="32C805"/>
                <w:sz w:val="62"/>
                <w:szCs w:val="62"/>
              </w:rPr>
            </w:pPr>
            <w:r>
              <w:rPr>
                <w:color w:val="32C805"/>
                <w:sz w:val="62"/>
                <w:szCs w:val="62"/>
              </w:rPr>
              <w:t>30</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CB7BA1">
            <w:pPr>
              <w:jc w:val="center"/>
              <w:rPr>
                <w:color w:val="32C805"/>
                <w:sz w:val="62"/>
                <w:szCs w:val="62"/>
              </w:rPr>
            </w:pPr>
            <w:r>
              <w:rPr>
                <w:color w:val="32C805"/>
                <w:sz w:val="62"/>
                <w:szCs w:val="62"/>
              </w:rPr>
              <w:t>75</w:t>
            </w:r>
          </w:p>
        </w:tc>
      </w:tr>
      <w:tr w:rsidR="00041AF2" w:rsidTr="00041AF2">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041AF2">
            <w:pPr>
              <w:jc w:val="center"/>
              <w:rPr>
                <w:b/>
                <w:color w:val="1EE605"/>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pPr>
            <w:r w:rsidRPr="00DE1B5F">
              <w:rPr>
                <w:b/>
                <w:color w:val="1EE605"/>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t>B+</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647E7B">
            <w:pPr>
              <w:jc w:val="center"/>
              <w:rPr>
                <w:color w:val="1EE605"/>
                <w:sz w:val="62"/>
                <w:szCs w:val="62"/>
              </w:rPr>
            </w:pPr>
            <w:r>
              <w:rPr>
                <w:color w:val="1EE605"/>
                <w:sz w:val="62"/>
                <w:szCs w:val="62"/>
              </w:rPr>
              <w:t>31</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647E7B">
            <w:pPr>
              <w:jc w:val="center"/>
              <w:rPr>
                <w:color w:val="1EE605"/>
                <w:sz w:val="62"/>
                <w:szCs w:val="62"/>
              </w:rPr>
            </w:pPr>
            <w:r>
              <w:rPr>
                <w:color w:val="1EE605"/>
                <w:sz w:val="62"/>
                <w:szCs w:val="62"/>
              </w:rPr>
              <w:t>77.5</w:t>
            </w:r>
          </w:p>
        </w:tc>
      </w:tr>
      <w:tr w:rsidR="00041AF2" w:rsidTr="00041AF2">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041AF2">
            <w:pPr>
              <w:jc w:val="center"/>
              <w:rPr>
                <w:b/>
                <w:color w:val="0AFA05"/>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pPr>
            <w:r w:rsidRPr="00DE1B5F">
              <w:rPr>
                <w:b/>
                <w:color w:val="0AFA05"/>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t>A-</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BB53A2">
            <w:pPr>
              <w:jc w:val="center"/>
              <w:rPr>
                <w:color w:val="0AFA05"/>
                <w:sz w:val="62"/>
                <w:szCs w:val="62"/>
              </w:rPr>
            </w:pPr>
            <w:r>
              <w:rPr>
                <w:color w:val="0AFA05"/>
                <w:sz w:val="62"/>
                <w:szCs w:val="62"/>
              </w:rPr>
              <w:t>34</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B43724">
            <w:pPr>
              <w:jc w:val="center"/>
              <w:rPr>
                <w:color w:val="0AFA05"/>
                <w:sz w:val="62"/>
                <w:szCs w:val="62"/>
              </w:rPr>
            </w:pPr>
            <w:r>
              <w:rPr>
                <w:color w:val="0AFA05"/>
                <w:sz w:val="62"/>
                <w:szCs w:val="62"/>
              </w:rPr>
              <w:t>80</w:t>
            </w:r>
            <w:bookmarkStart w:id="0" w:name="_GoBack"/>
            <w:bookmarkEnd w:id="0"/>
          </w:p>
        </w:tc>
      </w:tr>
      <w:tr w:rsidR="00041AF2" w:rsidTr="00041AF2">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041AF2">
            <w:pPr>
              <w:jc w:val="center"/>
              <w:rPr>
                <w:b/>
                <w:color w:val="00FF46"/>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pPr>
            <w:r w:rsidRPr="00DE1B5F">
              <w:rPr>
                <w:b/>
                <w:color w:val="00FF46"/>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t>A</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041AF2">
            <w:pPr>
              <w:jc w:val="center"/>
              <w:rPr>
                <w:color w:val="00FF46"/>
                <w:sz w:val="62"/>
                <w:szCs w:val="62"/>
              </w:rPr>
            </w:pPr>
            <w:r w:rsidRPr="00DE1B5F">
              <w:rPr>
                <w:color w:val="00FF46"/>
                <w:sz w:val="62"/>
                <w:szCs w:val="62"/>
              </w:rPr>
              <w:t>36</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041AF2">
            <w:pPr>
              <w:jc w:val="center"/>
              <w:rPr>
                <w:color w:val="00FF46"/>
                <w:sz w:val="62"/>
                <w:szCs w:val="62"/>
              </w:rPr>
            </w:pPr>
            <w:r w:rsidRPr="00DE1B5F">
              <w:rPr>
                <w:color w:val="00FF46"/>
                <w:sz w:val="62"/>
                <w:szCs w:val="62"/>
              </w:rPr>
              <w:t>90</w:t>
            </w:r>
          </w:p>
        </w:tc>
      </w:tr>
      <w:tr w:rsidR="00041AF2" w:rsidTr="00041AF2">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041AF2">
            <w:pPr>
              <w:jc w:val="center"/>
              <w:rPr>
                <w:b/>
                <w:color w:val="00FFFF"/>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pPr>
            <w:r w:rsidRPr="00DE1B5F">
              <w:rPr>
                <w:b/>
                <w:color w:val="00FFFF"/>
                <w:sz w:val="62"/>
                <w:szCs w:val="62"/>
                <w14:reflection w14:blurRad="0" w14:stA="100000" w14:stPos="0" w14:endA="0" w14:endPos="0" w14:dist="0" w14:dir="0" w14:fadeDir="0" w14:sx="0" w14:sy="0" w14:kx="0" w14:ky="0" w14:algn="b"/>
                <w14:textOutline w14:w="127" w14:cap="flat" w14:cmpd="tri" w14:algn="ctr">
                  <w14:solidFill>
                    <w14:srgbClr w14:val="000000"/>
                  </w14:solidFill>
                  <w14:prstDash w14:val="solid"/>
                  <w14:bevel/>
                </w14:textOutline>
              </w:rPr>
              <w:t>A+</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041AF2">
            <w:pPr>
              <w:jc w:val="center"/>
              <w:rPr>
                <w:color w:val="00FFFF"/>
                <w:sz w:val="62"/>
                <w:szCs w:val="62"/>
              </w:rPr>
            </w:pPr>
            <w:r w:rsidRPr="00DE1B5F">
              <w:rPr>
                <w:color w:val="00FFFF"/>
                <w:sz w:val="62"/>
                <w:szCs w:val="62"/>
              </w:rPr>
              <w:t>40</w:t>
            </w:r>
          </w:p>
        </w:tc>
        <w:tc>
          <w:tcPr>
            <w:tcW w:w="3192" w:type="dxa"/>
            <w:tcBorders>
              <w:top w:val="single" w:sz="4" w:space="0" w:color="auto"/>
              <w:left w:val="single" w:sz="4" w:space="0" w:color="auto"/>
              <w:bottom w:val="single" w:sz="4" w:space="0" w:color="auto"/>
              <w:right w:val="single" w:sz="4" w:space="0" w:color="auto"/>
            </w:tcBorders>
            <w:hideMark/>
          </w:tcPr>
          <w:p w:rsidR="00041AF2" w:rsidRPr="00DE1B5F" w:rsidRDefault="00041AF2">
            <w:pPr>
              <w:jc w:val="center"/>
              <w:rPr>
                <w:color w:val="00FFFF"/>
                <w:sz w:val="62"/>
                <w:szCs w:val="62"/>
              </w:rPr>
            </w:pPr>
            <w:r w:rsidRPr="00DE1B5F">
              <w:rPr>
                <w:color w:val="00FFFF"/>
                <w:sz w:val="62"/>
                <w:szCs w:val="62"/>
              </w:rPr>
              <w:t>100</w:t>
            </w:r>
          </w:p>
        </w:tc>
      </w:tr>
    </w:tbl>
    <w:p w:rsidR="00041AF2" w:rsidRDefault="00041AF2" w:rsidP="00041AF2">
      <w:pPr>
        <w:rPr>
          <w:sz w:val="40"/>
          <w:szCs w:val="40"/>
        </w:rPr>
      </w:pPr>
      <w:r>
        <w:rPr>
          <w:sz w:val="40"/>
          <w:szCs w:val="40"/>
        </w:rPr>
        <w:t xml:space="preserve"> </w:t>
      </w:r>
    </w:p>
    <w:p w:rsidR="00041AF2" w:rsidRDefault="00041AF2" w:rsidP="00041AF2">
      <w:pPr>
        <w:rPr>
          <w:sz w:val="40"/>
          <w:szCs w:val="40"/>
        </w:rPr>
      </w:pPr>
      <w:r>
        <w:rPr>
          <w:sz w:val="40"/>
          <w:szCs w:val="40"/>
        </w:rPr>
        <w:lastRenderedPageBreak/>
        <w:t xml:space="preserve"> To be used in converting final grades of </w:t>
      </w:r>
      <w:r w:rsidRPr="00041AF2">
        <w:rPr>
          <w:b/>
          <w:sz w:val="40"/>
          <w:szCs w:val="40"/>
        </w:rPr>
        <w:t>Course components only</w:t>
      </w:r>
      <w:r>
        <w:rPr>
          <w:sz w:val="40"/>
          <w:szCs w:val="40"/>
        </w:rPr>
        <w:t xml:space="preserve"> to GPE’s in the final course summary such that their weightings influence the final course mark as a percentage.</w:t>
      </w:r>
    </w:p>
    <w:p w:rsidR="0003603F" w:rsidRDefault="0003603F" w:rsidP="0003603F">
      <w:pPr>
        <w:pStyle w:val="Heading3"/>
        <w:rPr>
          <w:u w:val="single"/>
        </w:rPr>
      </w:pPr>
      <w:r>
        <w:rPr>
          <w:u w:val="single"/>
        </w:rPr>
        <w:t>Grade Legend:</w:t>
      </w:r>
    </w:p>
    <w:p w:rsidR="0003603F" w:rsidRDefault="0003603F" w:rsidP="0003603F"/>
    <w:p w:rsidR="0003603F" w:rsidRPr="0003603F" w:rsidRDefault="0003603F" w:rsidP="0003603F">
      <w:pPr>
        <w:rPr>
          <w:rFonts w:ascii="Arial" w:hAnsi="Arial" w:cs="Arial"/>
        </w:rPr>
      </w:pPr>
      <w:r w:rsidRPr="00CD0D79">
        <w:rPr>
          <w:rFonts w:ascii="Tw Cen MT Condensed Extra Bold" w:hAnsi="Tw Cen MT Condensed Extra Bold"/>
          <w:sz w:val="36"/>
          <w:szCs w:val="36"/>
        </w:rPr>
        <w:t>A</w:t>
      </w:r>
      <w:r w:rsidR="00EF40C6">
        <w:rPr>
          <w:rFonts w:ascii="Tw Cen MT Condensed Extra Bold" w:hAnsi="Tw Cen MT Condensed Extra Bold"/>
        </w:rPr>
        <w:t xml:space="preserve">   —</w:t>
      </w:r>
      <w:r>
        <w:rPr>
          <w:rFonts w:ascii="Tw Cen MT Condensed Extra Bold" w:hAnsi="Tw Cen MT Condensed Extra Bold"/>
        </w:rPr>
        <w:t xml:space="preserve"> </w:t>
      </w:r>
      <w:r w:rsidR="00EF40C6">
        <w:rPr>
          <w:rFonts w:ascii="Tw Cen MT Condensed Extra Bold" w:hAnsi="Tw Cen MT Condensed Extra Bold"/>
        </w:rPr>
        <w:t xml:space="preserve"> </w:t>
      </w:r>
      <w:r w:rsidR="00EF40C6">
        <w:rPr>
          <w:rFonts w:ascii="Arial" w:hAnsi="Arial" w:cs="Arial"/>
          <w:b/>
        </w:rPr>
        <w:t>Excellent</w:t>
      </w:r>
      <w:r w:rsidR="002F7938">
        <w:rPr>
          <w:rFonts w:ascii="Arial" w:hAnsi="Arial" w:cs="Arial"/>
        </w:rPr>
        <w:t xml:space="preserve"> – Competency is considered high regardless of education standards.</w:t>
      </w:r>
      <w:r w:rsidR="008D04B3">
        <w:rPr>
          <w:rFonts w:ascii="Arial" w:hAnsi="Arial" w:cs="Arial"/>
        </w:rPr>
        <w:t xml:space="preserve">  Understanding is strong enough to be applied at the post graduate level with confidence and without much effort.  Very indicative of above average IV league performance.</w:t>
      </w:r>
      <w:r w:rsidR="00302F51">
        <w:rPr>
          <w:rFonts w:ascii="Arial" w:hAnsi="Arial" w:cs="Arial"/>
        </w:rPr>
        <w:t xml:space="preserve">  </w:t>
      </w:r>
      <w:proofErr w:type="gramStart"/>
      <w:r w:rsidR="00302F51">
        <w:rPr>
          <w:rFonts w:ascii="Arial" w:hAnsi="Arial" w:cs="Arial"/>
        </w:rPr>
        <w:t xml:space="preserve">Capable of </w:t>
      </w:r>
      <w:r w:rsidR="00AC2D4D">
        <w:rPr>
          <w:rFonts w:ascii="Arial" w:hAnsi="Arial" w:cs="Arial"/>
        </w:rPr>
        <w:t>high echelon</w:t>
      </w:r>
      <w:r w:rsidR="00302F51">
        <w:rPr>
          <w:rFonts w:ascii="Arial" w:hAnsi="Arial" w:cs="Arial"/>
        </w:rPr>
        <w:t xml:space="preserve"> performance on </w:t>
      </w:r>
      <w:r w:rsidR="00AC2D4D">
        <w:rPr>
          <w:rFonts w:ascii="Arial" w:hAnsi="Arial" w:cs="Arial"/>
        </w:rPr>
        <w:t>national standard exams.</w:t>
      </w:r>
      <w:proofErr w:type="gramEnd"/>
    </w:p>
    <w:p w:rsidR="0003603F" w:rsidRPr="0003603F" w:rsidRDefault="0003603F" w:rsidP="0003603F">
      <w:pPr>
        <w:rPr>
          <w:rFonts w:ascii="Arial" w:hAnsi="Arial" w:cs="Arial"/>
        </w:rPr>
      </w:pPr>
      <w:r w:rsidRPr="00CD0D79">
        <w:rPr>
          <w:rFonts w:ascii="Tw Cen MT Condensed Extra Bold" w:hAnsi="Tw Cen MT Condensed Extra Bold"/>
          <w:sz w:val="36"/>
          <w:szCs w:val="36"/>
        </w:rPr>
        <w:t>B</w:t>
      </w:r>
      <w:r w:rsidR="00EF40C6">
        <w:rPr>
          <w:rFonts w:ascii="Tw Cen MT Condensed Extra Bold" w:hAnsi="Tw Cen MT Condensed Extra Bold"/>
        </w:rPr>
        <w:t xml:space="preserve">   </w:t>
      </w:r>
      <w:proofErr w:type="gramStart"/>
      <w:r w:rsidR="00EF40C6">
        <w:rPr>
          <w:rFonts w:ascii="Tw Cen MT Condensed Extra Bold" w:hAnsi="Tw Cen MT Condensed Extra Bold"/>
        </w:rPr>
        <w:t>—</w:t>
      </w:r>
      <w:r>
        <w:rPr>
          <w:rFonts w:ascii="Tw Cen MT Condensed Extra Bold" w:hAnsi="Tw Cen MT Condensed Extra Bold"/>
        </w:rPr>
        <w:t xml:space="preserve"> </w:t>
      </w:r>
      <w:r w:rsidR="00EF40C6">
        <w:rPr>
          <w:rFonts w:ascii="Tw Cen MT Condensed Extra Bold" w:hAnsi="Tw Cen MT Condensed Extra Bold"/>
        </w:rPr>
        <w:t xml:space="preserve"> </w:t>
      </w:r>
      <w:r w:rsidR="002F7938" w:rsidRPr="00981DCB">
        <w:rPr>
          <w:rFonts w:ascii="Arial" w:hAnsi="Arial" w:cs="Arial"/>
          <w:b/>
        </w:rPr>
        <w:t>Elevated</w:t>
      </w:r>
      <w:proofErr w:type="gramEnd"/>
      <w:r w:rsidR="002F7938">
        <w:rPr>
          <w:rFonts w:ascii="Arial" w:hAnsi="Arial" w:cs="Arial"/>
        </w:rPr>
        <w:t xml:space="preserve"> – Level of competency exceeds most education standards.  No problem adjusting to any curriculum.</w:t>
      </w:r>
      <w:r w:rsidR="008D04B3">
        <w:rPr>
          <w:rFonts w:ascii="Arial" w:hAnsi="Arial" w:cs="Arial"/>
        </w:rPr>
        <w:t xml:space="preserve">  A strong, elaborate and comprehensive understanding capable of being applied to most foreign situations.  May indicate an average to upper average performance for the IV league</w:t>
      </w:r>
      <w:r w:rsidR="00302F51">
        <w:rPr>
          <w:rFonts w:ascii="Arial" w:hAnsi="Arial" w:cs="Arial"/>
        </w:rPr>
        <w:t xml:space="preserve"> graduate student.  </w:t>
      </w:r>
      <w:proofErr w:type="gramStart"/>
      <w:r w:rsidR="00302F51">
        <w:rPr>
          <w:rFonts w:ascii="Arial" w:hAnsi="Arial" w:cs="Arial"/>
        </w:rPr>
        <w:t xml:space="preserve">Capable of good performance on </w:t>
      </w:r>
      <w:r w:rsidR="00AC2D4D">
        <w:rPr>
          <w:rFonts w:ascii="Arial" w:hAnsi="Arial" w:cs="Arial"/>
        </w:rPr>
        <w:t>national standard</w:t>
      </w:r>
      <w:r w:rsidR="00302F51">
        <w:rPr>
          <w:rFonts w:ascii="Arial" w:hAnsi="Arial" w:cs="Arial"/>
        </w:rPr>
        <w:t xml:space="preserve"> exams.</w:t>
      </w:r>
      <w:proofErr w:type="gramEnd"/>
    </w:p>
    <w:p w:rsidR="0003603F" w:rsidRPr="0003603F" w:rsidRDefault="0003603F" w:rsidP="0003603F">
      <w:pPr>
        <w:rPr>
          <w:rFonts w:ascii="Arial" w:hAnsi="Arial" w:cs="Arial"/>
        </w:rPr>
      </w:pPr>
      <w:r w:rsidRPr="00CD0D79">
        <w:rPr>
          <w:rFonts w:ascii="Tw Cen MT Condensed Extra Bold" w:hAnsi="Tw Cen MT Condensed Extra Bold"/>
          <w:sz w:val="36"/>
          <w:szCs w:val="36"/>
        </w:rPr>
        <w:t>C</w:t>
      </w:r>
      <w:r>
        <w:rPr>
          <w:rFonts w:ascii="Tw Cen MT Condensed Extra Bold" w:hAnsi="Tw Cen MT Condensed Extra Bold"/>
        </w:rPr>
        <w:t xml:space="preserve"> </w:t>
      </w:r>
      <w:r w:rsidR="00EF40C6">
        <w:rPr>
          <w:rFonts w:ascii="Tw Cen MT Condensed Extra Bold" w:hAnsi="Tw Cen MT Condensed Extra Bold"/>
        </w:rPr>
        <w:t xml:space="preserve">  — </w:t>
      </w:r>
      <w:r>
        <w:rPr>
          <w:rFonts w:ascii="Tw Cen MT Condensed Extra Bold" w:hAnsi="Tw Cen MT Condensed Extra Bold"/>
        </w:rPr>
        <w:t xml:space="preserve"> </w:t>
      </w:r>
      <w:r w:rsidRPr="00981DCB">
        <w:rPr>
          <w:rFonts w:ascii="Arial" w:hAnsi="Arial" w:cs="Arial"/>
          <w:b/>
        </w:rPr>
        <w:t>Satisfactory</w:t>
      </w:r>
      <w:r w:rsidR="002F7938">
        <w:rPr>
          <w:rFonts w:ascii="Arial" w:hAnsi="Arial" w:cs="Arial"/>
        </w:rPr>
        <w:t xml:space="preserve"> – Level of competency is about the same as that for most</w:t>
      </w:r>
      <w:r w:rsidR="008D04B3">
        <w:rPr>
          <w:rFonts w:ascii="Arial" w:hAnsi="Arial" w:cs="Arial"/>
        </w:rPr>
        <w:t xml:space="preserve"> graduates coming from</w:t>
      </w:r>
      <w:r w:rsidR="002F7938">
        <w:rPr>
          <w:rFonts w:ascii="Arial" w:hAnsi="Arial" w:cs="Arial"/>
        </w:rPr>
        <w:t xml:space="preserve"> local post-secondary institutions.  The material is understood and can be applied, but with much effort needed to meet higher standards.</w:t>
      </w:r>
      <w:r w:rsidR="008D04B3">
        <w:rPr>
          <w:rFonts w:ascii="Arial" w:hAnsi="Arial" w:cs="Arial"/>
        </w:rPr>
        <w:t xml:space="preserve">  Performance on standardized graduate entry exams may be acceptable, but </w:t>
      </w:r>
      <w:r w:rsidR="00302F51">
        <w:rPr>
          <w:rFonts w:ascii="Arial" w:hAnsi="Arial" w:cs="Arial"/>
        </w:rPr>
        <w:t>much preparation is required.</w:t>
      </w:r>
    </w:p>
    <w:p w:rsidR="0003603F" w:rsidRPr="0003603F" w:rsidRDefault="0003603F" w:rsidP="0003603F">
      <w:pPr>
        <w:rPr>
          <w:rFonts w:ascii="Arial" w:hAnsi="Arial" w:cs="Arial"/>
        </w:rPr>
      </w:pPr>
      <w:r w:rsidRPr="00CD0D79">
        <w:rPr>
          <w:rFonts w:ascii="Tw Cen MT Condensed Extra Bold" w:hAnsi="Tw Cen MT Condensed Extra Bold"/>
          <w:sz w:val="36"/>
          <w:szCs w:val="36"/>
        </w:rPr>
        <w:t>D</w:t>
      </w:r>
      <w:r w:rsidR="00EF40C6">
        <w:rPr>
          <w:rFonts w:ascii="Tw Cen MT Condensed Extra Bold" w:hAnsi="Tw Cen MT Condensed Extra Bold"/>
          <w:sz w:val="36"/>
          <w:szCs w:val="36"/>
        </w:rPr>
        <w:t xml:space="preserve"> </w:t>
      </w:r>
      <w:r>
        <w:rPr>
          <w:rFonts w:ascii="Tw Cen MT Condensed Extra Bold" w:hAnsi="Tw Cen MT Condensed Extra Bold"/>
        </w:rPr>
        <w:t xml:space="preserve"> </w:t>
      </w:r>
      <w:r w:rsidR="00EF40C6">
        <w:rPr>
          <w:rFonts w:ascii="Tw Cen MT Condensed Extra Bold" w:hAnsi="Tw Cen MT Condensed Extra Bold"/>
        </w:rPr>
        <w:t>—</w:t>
      </w:r>
      <w:r>
        <w:rPr>
          <w:rFonts w:ascii="Tw Cen MT Condensed Extra Bold" w:hAnsi="Tw Cen MT Condensed Extra Bold"/>
        </w:rPr>
        <w:t xml:space="preserve"> </w:t>
      </w:r>
      <w:r w:rsidR="00EF40C6">
        <w:rPr>
          <w:rFonts w:ascii="Tw Cen MT Condensed Extra Bold" w:hAnsi="Tw Cen MT Condensed Extra Bold"/>
        </w:rPr>
        <w:t xml:space="preserve"> </w:t>
      </w:r>
      <w:r w:rsidR="00EF40C6">
        <w:rPr>
          <w:rFonts w:ascii="Arial" w:hAnsi="Arial" w:cs="Arial"/>
          <w:b/>
        </w:rPr>
        <w:t>Limited</w:t>
      </w:r>
      <w:r w:rsidR="002F7938">
        <w:rPr>
          <w:rFonts w:ascii="Arial" w:hAnsi="Arial" w:cs="Arial"/>
        </w:rPr>
        <w:t xml:space="preserve"> – Level of competency meets expectations but</w:t>
      </w:r>
      <w:r w:rsidR="008D04B3">
        <w:rPr>
          <w:rFonts w:ascii="Arial" w:hAnsi="Arial" w:cs="Arial"/>
        </w:rPr>
        <w:t xml:space="preserve"> the understanding is superficial or weak.  May struggle to adjust or comprehend</w:t>
      </w:r>
      <w:r w:rsidR="002F7938">
        <w:rPr>
          <w:rFonts w:ascii="Arial" w:hAnsi="Arial" w:cs="Arial"/>
        </w:rPr>
        <w:t xml:space="preserve"> with many different curricula in this area of study.  Probably on the average to below average performance level for most to all post-secondary</w:t>
      </w:r>
      <w:r w:rsidR="008D04B3">
        <w:rPr>
          <w:rFonts w:ascii="Arial" w:hAnsi="Arial" w:cs="Arial"/>
        </w:rPr>
        <w:t xml:space="preserve"> graduates.  Indicative of a weak performance on a standardized graduate entry exam in this area of study.</w:t>
      </w:r>
    </w:p>
    <w:p w:rsidR="0003603F" w:rsidRPr="0003603F" w:rsidRDefault="0003603F" w:rsidP="0003603F">
      <w:pPr>
        <w:rPr>
          <w:rFonts w:ascii="Arial" w:hAnsi="Arial" w:cs="Arial"/>
        </w:rPr>
      </w:pPr>
      <w:r w:rsidRPr="00CD0D79">
        <w:rPr>
          <w:rFonts w:ascii="Tw Cen MT Condensed Extra Bold" w:hAnsi="Tw Cen MT Condensed Extra Bold"/>
          <w:sz w:val="36"/>
          <w:szCs w:val="36"/>
        </w:rPr>
        <w:t>F</w:t>
      </w:r>
      <w:r w:rsidR="00EF40C6">
        <w:rPr>
          <w:rFonts w:ascii="Tw Cen MT Condensed Extra Bold" w:hAnsi="Tw Cen MT Condensed Extra Bold"/>
          <w:sz w:val="36"/>
          <w:szCs w:val="36"/>
        </w:rPr>
        <w:t xml:space="preserve"> </w:t>
      </w:r>
      <w:r>
        <w:rPr>
          <w:rFonts w:ascii="Tw Cen MT Condensed Extra Bold" w:hAnsi="Tw Cen MT Condensed Extra Bold"/>
        </w:rPr>
        <w:t xml:space="preserve"> </w:t>
      </w:r>
      <w:r w:rsidR="00EF40C6">
        <w:rPr>
          <w:rFonts w:ascii="Tw Cen MT Condensed Extra Bold" w:hAnsi="Tw Cen MT Condensed Extra Bold"/>
        </w:rPr>
        <w:t xml:space="preserve">— </w:t>
      </w:r>
      <w:r>
        <w:rPr>
          <w:rFonts w:ascii="Tw Cen MT Condensed Extra Bold" w:hAnsi="Tw Cen MT Condensed Extra Bold"/>
        </w:rPr>
        <w:t xml:space="preserve"> </w:t>
      </w:r>
      <w:r w:rsidR="00EF40C6">
        <w:rPr>
          <w:rFonts w:ascii="Arial" w:hAnsi="Arial" w:cs="Arial"/>
          <w:b/>
        </w:rPr>
        <w:t>Weak</w:t>
      </w:r>
      <w:r w:rsidR="008D04B3">
        <w:rPr>
          <w:rFonts w:ascii="Arial" w:hAnsi="Arial" w:cs="Arial"/>
        </w:rPr>
        <w:t xml:space="preserve"> – level of competency is not at the level of a graduate at the secondary level.  Performance will certainly fall below average for most to all localized institutions.  Indicative of poor performance on any standardized graduate entry exam pertaining to this area of study.</w:t>
      </w:r>
    </w:p>
    <w:p w:rsidR="00EF40C6" w:rsidRDefault="00EF40C6" w:rsidP="00EF40C6">
      <w:pPr>
        <w:rPr>
          <w:b/>
          <w:sz w:val="20"/>
          <w:szCs w:val="20"/>
        </w:rPr>
      </w:pPr>
    </w:p>
    <w:p w:rsidR="00EF40C6" w:rsidRPr="002F10B2" w:rsidRDefault="00EF40C6" w:rsidP="00EF40C6">
      <w:pPr>
        <w:rPr>
          <w:sz w:val="18"/>
          <w:szCs w:val="18"/>
        </w:rPr>
      </w:pPr>
      <w:r w:rsidRPr="002F10B2">
        <w:rPr>
          <w:b/>
          <w:sz w:val="18"/>
          <w:szCs w:val="18"/>
        </w:rPr>
        <w:t xml:space="preserve">Note: </w:t>
      </w:r>
      <w:r w:rsidR="002F10B2">
        <w:rPr>
          <w:sz w:val="18"/>
          <w:szCs w:val="18"/>
        </w:rPr>
        <w:t>E</w:t>
      </w:r>
      <w:r w:rsidR="00BE1D49" w:rsidRPr="002F10B2">
        <w:rPr>
          <w:sz w:val="18"/>
          <w:szCs w:val="18"/>
        </w:rPr>
        <w:t xml:space="preserve">ach course is </w:t>
      </w:r>
      <w:r w:rsidR="002F10B2">
        <w:rPr>
          <w:sz w:val="18"/>
          <w:szCs w:val="18"/>
        </w:rPr>
        <w:t>evaluated</w:t>
      </w:r>
      <w:r w:rsidR="00BE1D49" w:rsidRPr="002F10B2">
        <w:rPr>
          <w:sz w:val="18"/>
          <w:szCs w:val="18"/>
        </w:rPr>
        <w:t xml:space="preserve"> on it</w:t>
      </w:r>
      <w:r w:rsidR="002F10B2" w:rsidRPr="002F10B2">
        <w:rPr>
          <w:sz w:val="18"/>
          <w:szCs w:val="18"/>
        </w:rPr>
        <w:t>s own terms</w:t>
      </w:r>
      <w:r w:rsidR="002F10B2">
        <w:rPr>
          <w:sz w:val="18"/>
          <w:szCs w:val="18"/>
        </w:rPr>
        <w:t xml:space="preserve"> </w:t>
      </w:r>
      <w:r w:rsidR="00BE1D49" w:rsidRPr="002F10B2">
        <w:rPr>
          <w:sz w:val="18"/>
          <w:szCs w:val="18"/>
        </w:rPr>
        <w:t>of expectations</w:t>
      </w:r>
      <w:r w:rsidR="00F14D9F">
        <w:rPr>
          <w:sz w:val="18"/>
          <w:szCs w:val="18"/>
        </w:rPr>
        <w:t xml:space="preserve"> and</w:t>
      </w:r>
      <w:r w:rsidR="002F10B2" w:rsidRPr="002F10B2">
        <w:rPr>
          <w:sz w:val="18"/>
          <w:szCs w:val="18"/>
        </w:rPr>
        <w:t xml:space="preserve"> performance.  </w:t>
      </w:r>
      <w:r w:rsidR="00F14D9F">
        <w:rPr>
          <w:sz w:val="18"/>
          <w:szCs w:val="18"/>
        </w:rPr>
        <w:t>The</w:t>
      </w:r>
      <w:r w:rsidR="002F10B2" w:rsidRPr="002F10B2">
        <w:rPr>
          <w:sz w:val="18"/>
          <w:szCs w:val="18"/>
        </w:rPr>
        <w:t xml:space="preserve"> final grades are standardized as accurately as possible </w:t>
      </w:r>
      <w:r w:rsidR="002F10B2">
        <w:rPr>
          <w:sz w:val="18"/>
          <w:szCs w:val="18"/>
        </w:rPr>
        <w:t>for all</w:t>
      </w:r>
      <w:r w:rsidR="00F14D9F">
        <w:rPr>
          <w:sz w:val="18"/>
          <w:szCs w:val="18"/>
        </w:rPr>
        <w:t xml:space="preserve"> courses</w:t>
      </w:r>
      <w:r w:rsidR="00F10972">
        <w:rPr>
          <w:sz w:val="18"/>
          <w:szCs w:val="18"/>
        </w:rPr>
        <w:t>. They</w:t>
      </w:r>
      <w:r w:rsidR="00F14D9F">
        <w:rPr>
          <w:sz w:val="18"/>
          <w:szCs w:val="18"/>
        </w:rPr>
        <w:t xml:space="preserve"> should not be treated as an indication of </w:t>
      </w:r>
      <w:r w:rsidR="00BE1D49" w:rsidRPr="002F10B2">
        <w:rPr>
          <w:sz w:val="18"/>
          <w:szCs w:val="18"/>
        </w:rPr>
        <w:t>intelligence</w:t>
      </w:r>
      <w:r w:rsidR="00F14D9F">
        <w:rPr>
          <w:sz w:val="18"/>
          <w:szCs w:val="18"/>
        </w:rPr>
        <w:t xml:space="preserve">, </w:t>
      </w:r>
      <w:r w:rsidR="00BE1D49" w:rsidRPr="002F10B2">
        <w:rPr>
          <w:sz w:val="18"/>
          <w:szCs w:val="18"/>
        </w:rPr>
        <w:t>but rather their level of</w:t>
      </w:r>
      <w:r w:rsidR="00F10972">
        <w:rPr>
          <w:sz w:val="18"/>
          <w:szCs w:val="18"/>
        </w:rPr>
        <w:t xml:space="preserve"> academic </w:t>
      </w:r>
      <w:r w:rsidR="00F10972" w:rsidRPr="002F10B2">
        <w:rPr>
          <w:sz w:val="18"/>
          <w:szCs w:val="18"/>
        </w:rPr>
        <w:t>achievement</w:t>
      </w:r>
      <w:r w:rsidR="00F10972">
        <w:rPr>
          <w:sz w:val="18"/>
          <w:szCs w:val="18"/>
        </w:rPr>
        <w:t>.  The grades are considered final judgements for course performance but their interpretation can only be viewed as a linear one.</w:t>
      </w:r>
      <w:r w:rsidR="00403B4A">
        <w:rPr>
          <w:sz w:val="18"/>
          <w:szCs w:val="18"/>
        </w:rPr>
        <w:t xml:space="preserve">  Level of achievement is dynamic since one’s choice to learn may change and could continue beyond completion of the course.</w:t>
      </w:r>
    </w:p>
    <w:sectPr w:rsidR="00EF40C6" w:rsidRPr="002F10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Condensed Extra Bold">
    <w:panose1 w:val="020B0803020202020204"/>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F2"/>
    <w:rsid w:val="0003603F"/>
    <w:rsid w:val="00041AF2"/>
    <w:rsid w:val="001F4FB0"/>
    <w:rsid w:val="002F10B2"/>
    <w:rsid w:val="002F7938"/>
    <w:rsid w:val="00302F51"/>
    <w:rsid w:val="00403B4A"/>
    <w:rsid w:val="004F08D3"/>
    <w:rsid w:val="00647E7B"/>
    <w:rsid w:val="0074554B"/>
    <w:rsid w:val="008D04B3"/>
    <w:rsid w:val="009042CA"/>
    <w:rsid w:val="00981DCB"/>
    <w:rsid w:val="00985BCA"/>
    <w:rsid w:val="00A70A77"/>
    <w:rsid w:val="00AC2D4D"/>
    <w:rsid w:val="00AE648A"/>
    <w:rsid w:val="00B43724"/>
    <w:rsid w:val="00BB53A2"/>
    <w:rsid w:val="00BE1D49"/>
    <w:rsid w:val="00BF6335"/>
    <w:rsid w:val="00C367B4"/>
    <w:rsid w:val="00CB7BA1"/>
    <w:rsid w:val="00CD0D79"/>
    <w:rsid w:val="00D925A6"/>
    <w:rsid w:val="00DE1B5F"/>
    <w:rsid w:val="00EF40C6"/>
    <w:rsid w:val="00F10972"/>
    <w:rsid w:val="00F138F2"/>
    <w:rsid w:val="00F14D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360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60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A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1AF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4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60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603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360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60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A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1AF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4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360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603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05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14</cp:revision>
  <dcterms:created xsi:type="dcterms:W3CDTF">2013-01-16T04:25:00Z</dcterms:created>
  <dcterms:modified xsi:type="dcterms:W3CDTF">2021-05-11T23:18:00Z</dcterms:modified>
</cp:coreProperties>
</file>