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AHeading"/>
        <w:numPr>
          <w:ilvl w:val="0"/>
          <w:numId w:val="4"/>
        </w:numPr>
        <w:spacing w:before="240" w:after="120"/>
        <w:rPr/>
      </w:pPr>
      <w:r>
        <w:rPr/>
        <w:t>Table of Contents</w:t>
      </w:r>
    </w:p>
    <w:p>
      <w:pPr>
        <w:pStyle w:val="Contents3"/>
        <w:tabs>
          <w:tab w:val="right" w:pos="9972" w:leader="dot"/>
        </w:tabs>
        <w:rPr/>
      </w:pPr>
      <w:r>
        <w:fldChar w:fldCharType="begin"/>
      </w:r>
      <w:r>
        <w:rPr>
          <w:rStyle w:val="IndexLink"/>
        </w:rPr>
        <w:instrText> TOC \o "1-9" \h</w:instrText>
      </w:r>
      <w:r>
        <w:rPr>
          <w:rStyle w:val="IndexLink"/>
        </w:rPr>
        <w:fldChar w:fldCharType="separate"/>
      </w:r>
      <w:hyperlink w:anchor="__RefHeading___Toc2917_3497913849">
        <w:r>
          <w:rPr>
            <w:rStyle w:val="IndexLink"/>
          </w:rPr>
          <w:t xml:space="preserve"> </w:t>
        </w:r>
        <w:r>
          <w:rPr>
            <w:rStyle w:val="IndexLink"/>
          </w:rPr>
          <w:t>2  General message format</w:t>
          <w:tab/>
          <w:t>2</w:t>
        </w:r>
      </w:hyperlink>
    </w:p>
    <w:p>
      <w:pPr>
        <w:pStyle w:val="Contents3"/>
        <w:tabs>
          <w:tab w:val="right" w:pos="9972" w:leader="dot"/>
        </w:tabs>
        <w:rPr/>
      </w:pPr>
      <w:hyperlink w:anchor="__RefHeading___Toc3203_3575711549">
        <w:r>
          <w:rPr>
            <w:rStyle w:val="IndexLink"/>
          </w:rPr>
          <w:t xml:space="preserve"> </w:t>
        </w:r>
        <w:r>
          <w:rPr>
            <w:rStyle w:val="IndexLink"/>
          </w:rPr>
          <w:t>3  Message definitions</w:t>
          <w:tab/>
          <w:t>3</w:t>
        </w:r>
      </w:hyperlink>
    </w:p>
    <w:p>
      <w:pPr>
        <w:pStyle w:val="Contents3"/>
        <w:tabs>
          <w:tab w:val="right" w:pos="9972" w:leader="dot"/>
        </w:tabs>
        <w:rPr/>
      </w:pPr>
      <w:hyperlink w:anchor="__RefHeading___Toc3205_3575711549">
        <w:r>
          <w:rPr>
            <w:rStyle w:val="IndexLink"/>
          </w:rPr>
          <w:t xml:space="preserve"> </w:t>
        </w:r>
        <w:r>
          <w:rPr>
            <w:rStyle w:val="IndexLink"/>
          </w:rPr>
          <w:t>3.1  Get status command</w:t>
          <w:tab/>
          <w:t>3</w:t>
        </w:r>
      </w:hyperlink>
    </w:p>
    <w:p>
      <w:pPr>
        <w:pStyle w:val="Contents3"/>
        <w:tabs>
          <w:tab w:val="right" w:pos="9972" w:leader="dot"/>
        </w:tabs>
        <w:rPr/>
      </w:pPr>
      <w:hyperlink w:anchor="__RefHeading___Toc2923_3497913849">
        <w:r>
          <w:rPr>
            <w:rStyle w:val="IndexLink"/>
          </w:rPr>
          <w:t xml:space="preserve"> </w:t>
        </w:r>
        <w:r>
          <w:rPr>
            <w:rStyle w:val="IndexLink"/>
          </w:rPr>
          <w:t>3.2  Get status response</w:t>
          <w:tab/>
          <w:t>3</w:t>
        </w:r>
      </w:hyperlink>
    </w:p>
    <w:p>
      <w:pPr>
        <w:pStyle w:val="Contents3"/>
        <w:tabs>
          <w:tab w:val="right" w:pos="9972" w:leader="dot"/>
        </w:tabs>
        <w:rPr/>
      </w:pPr>
      <w:hyperlink w:anchor="__RefHeading___Toc2925_3497913849">
        <w:r>
          <w:rPr>
            <w:rStyle w:val="IndexLink"/>
          </w:rPr>
          <w:t xml:space="preserve"> </w:t>
        </w:r>
        <w:r>
          <w:rPr>
            <w:rStyle w:val="IndexLink"/>
          </w:rPr>
          <w:t>3.3  Set humidity threshold command</w:t>
          <w:tab/>
          <w:t>4</w:t>
        </w:r>
      </w:hyperlink>
    </w:p>
    <w:p>
      <w:pPr>
        <w:pStyle w:val="Contents3"/>
        <w:tabs>
          <w:tab w:val="right" w:pos="9972" w:leader="dot"/>
        </w:tabs>
        <w:rPr/>
      </w:pPr>
      <w:hyperlink w:anchor="__RefHeading___Toc4181_2709925710">
        <w:r>
          <w:rPr>
            <w:rStyle w:val="IndexLink"/>
          </w:rPr>
          <w:t xml:space="preserve"> </w:t>
        </w:r>
        <w:r>
          <w:rPr>
            <w:rStyle w:val="IndexLink"/>
          </w:rPr>
          <w:t>3.4  Set Humidity threshold response</w:t>
          <w:tab/>
          <w:t>4</w:t>
        </w:r>
      </w:hyperlink>
    </w:p>
    <w:p>
      <w:pPr>
        <w:pStyle w:val="Contents3"/>
        <w:tabs>
          <w:tab w:val="right" w:pos="9972" w:leader="dot"/>
        </w:tabs>
        <w:rPr/>
      </w:pPr>
      <w:hyperlink w:anchor="__RefHeading___Toc2929_3497913849">
        <w:r>
          <w:rPr>
            <w:rStyle w:val="IndexLink"/>
          </w:rPr>
          <w:t xml:space="preserve"> </w:t>
        </w:r>
        <w:r>
          <w:rPr>
            <w:rStyle w:val="IndexLink"/>
          </w:rPr>
          <w:t>3.5  Get humidity threshold command</w:t>
          <w:tab/>
          <w:t>4</w:t>
        </w:r>
      </w:hyperlink>
    </w:p>
    <w:p>
      <w:pPr>
        <w:pStyle w:val="Contents3"/>
        <w:tabs>
          <w:tab w:val="right" w:pos="9972" w:leader="dot"/>
        </w:tabs>
        <w:rPr/>
      </w:pPr>
      <w:hyperlink w:anchor="__RefHeading___Toc2931_3497913849">
        <w:r>
          <w:rPr>
            <w:rStyle w:val="IndexLink"/>
          </w:rPr>
          <w:t xml:space="preserve"> </w:t>
        </w:r>
        <w:r>
          <w:rPr>
            <w:rStyle w:val="IndexLink"/>
          </w:rPr>
          <w:t>3.6  Get humidity threshold response</w:t>
          <w:tab/>
          <w:t>5</w:t>
        </w:r>
      </w:hyperlink>
    </w:p>
    <w:p>
      <w:pPr>
        <w:pStyle w:val="Contents3"/>
        <w:tabs>
          <w:tab w:val="right" w:pos="9972" w:leader="dot"/>
        </w:tabs>
        <w:rPr/>
      </w:pPr>
      <w:hyperlink w:anchor="__RefHeading___Toc2933_3497913849">
        <w:r>
          <w:rPr>
            <w:rStyle w:val="IndexLink"/>
          </w:rPr>
          <w:t xml:space="preserve"> </w:t>
        </w:r>
        <w:r>
          <w:rPr>
            <w:rStyle w:val="IndexLink"/>
          </w:rPr>
          <w:t>3.7  Get humidity command</w:t>
          <w:tab/>
          <w:t>5</w:t>
        </w:r>
      </w:hyperlink>
    </w:p>
    <w:p>
      <w:pPr>
        <w:pStyle w:val="Contents3"/>
        <w:tabs>
          <w:tab w:val="right" w:pos="9972" w:leader="dot"/>
        </w:tabs>
        <w:rPr/>
      </w:pPr>
      <w:hyperlink w:anchor="__RefHeading___Toc2935_3497913849">
        <w:r>
          <w:rPr>
            <w:rStyle w:val="IndexLink"/>
          </w:rPr>
          <w:t xml:space="preserve"> </w:t>
        </w:r>
        <w:r>
          <w:rPr>
            <w:rStyle w:val="IndexLink"/>
          </w:rPr>
          <w:t>3.8  Get humidity response</w:t>
          <w:tab/>
          <w:t>6</w:t>
        </w:r>
      </w:hyperlink>
    </w:p>
    <w:p>
      <w:pPr>
        <w:pStyle w:val="Contents3"/>
        <w:tabs>
          <w:tab w:val="right" w:pos="9972" w:leader="dot"/>
        </w:tabs>
        <w:rPr/>
      </w:pPr>
      <w:hyperlink w:anchor="__RefHeading___Toc2937_3497913849">
        <w:r>
          <w:rPr>
            <w:rStyle w:val="IndexLink"/>
          </w:rPr>
          <w:t xml:space="preserve"> </w:t>
        </w:r>
        <w:r>
          <w:rPr>
            <w:rStyle w:val="IndexLink"/>
          </w:rPr>
          <w:t>3.9  Set TEC set point temperature command</w:t>
          <w:tab/>
          <w:t>6</w:t>
        </w:r>
      </w:hyperlink>
    </w:p>
    <w:p>
      <w:pPr>
        <w:pStyle w:val="Contents3"/>
        <w:tabs>
          <w:tab w:val="right" w:pos="9972" w:leader="dot"/>
        </w:tabs>
        <w:rPr/>
      </w:pPr>
      <w:hyperlink w:anchor="__RefHeading___Toc2939_3497913849">
        <w:r>
          <w:rPr>
            <w:rStyle w:val="IndexLink"/>
          </w:rPr>
          <w:t xml:space="preserve"> </w:t>
        </w:r>
        <w:r>
          <w:rPr>
            <w:rStyle w:val="IndexLink"/>
          </w:rPr>
          <w:t>3.10  Set TEC set point temperature response</w:t>
          <w:tab/>
          <w:t>6</w:t>
        </w:r>
      </w:hyperlink>
    </w:p>
    <w:p>
      <w:pPr>
        <w:pStyle w:val="Contents3"/>
        <w:tabs>
          <w:tab w:val="right" w:pos="9972" w:leader="dot"/>
        </w:tabs>
        <w:rPr/>
      </w:pPr>
      <w:hyperlink w:anchor="__RefHeading___Toc2941_3497913849">
        <w:r>
          <w:rPr>
            <w:rStyle w:val="IndexLink"/>
          </w:rPr>
          <w:t xml:space="preserve"> </w:t>
        </w:r>
        <w:r>
          <w:rPr>
            <w:rStyle w:val="IndexLink"/>
          </w:rPr>
          <w:t>3.11  Get TEC set point temperature command</w:t>
          <w:tab/>
          <w:t>7</w:t>
        </w:r>
      </w:hyperlink>
    </w:p>
    <w:p>
      <w:pPr>
        <w:pStyle w:val="Contents3"/>
        <w:tabs>
          <w:tab w:val="right" w:pos="9972" w:leader="dot"/>
        </w:tabs>
        <w:rPr/>
      </w:pPr>
      <w:hyperlink w:anchor="__RefHeading___Toc2943_3497913849">
        <w:r>
          <w:rPr>
            <w:rStyle w:val="IndexLink"/>
          </w:rPr>
          <w:t xml:space="preserve"> </w:t>
        </w:r>
        <w:r>
          <w:rPr>
            <w:rStyle w:val="IndexLink"/>
          </w:rPr>
          <w:t>3.12  Get TEC set point temperature response</w:t>
          <w:tab/>
          <w:t>7</w:t>
        </w:r>
      </w:hyperlink>
    </w:p>
    <w:p>
      <w:pPr>
        <w:pStyle w:val="Contents3"/>
        <w:tabs>
          <w:tab w:val="right" w:pos="9972" w:leader="dot"/>
        </w:tabs>
        <w:rPr/>
      </w:pPr>
      <w:hyperlink w:anchor="__RefHeading___Toc4183_2709925710">
        <w:r>
          <w:rPr>
            <w:rStyle w:val="IndexLink"/>
          </w:rPr>
          <w:t xml:space="preserve"> </w:t>
        </w:r>
        <w:r>
          <w:rPr>
            <w:rStyle w:val="IndexLink"/>
          </w:rPr>
          <w:t>3.13  Get TEC information command</w:t>
          <w:tab/>
          <w:t>8</w:t>
        </w:r>
      </w:hyperlink>
    </w:p>
    <w:p>
      <w:pPr>
        <w:pStyle w:val="Contents3"/>
        <w:tabs>
          <w:tab w:val="right" w:pos="9972" w:leader="dot"/>
        </w:tabs>
        <w:rPr/>
      </w:pPr>
      <w:hyperlink w:anchor="__RefHeading___Toc2943_34979138492">
        <w:r>
          <w:rPr>
            <w:rStyle w:val="IndexLink"/>
          </w:rPr>
          <w:t xml:space="preserve"> </w:t>
        </w:r>
        <w:r>
          <w:rPr>
            <w:rStyle w:val="IndexLink"/>
          </w:rPr>
          <w:t>3.14  Get TEC information command response</w:t>
          <w:tab/>
          <w:t>8</w:t>
        </w:r>
      </w:hyperlink>
    </w:p>
    <w:p>
      <w:pPr>
        <w:pStyle w:val="Contents3"/>
        <w:tabs>
          <w:tab w:val="right" w:pos="9972" w:leader="dot"/>
        </w:tabs>
        <w:rPr/>
      </w:pPr>
      <w:hyperlink w:anchor="__RefHeading___Toc4185_2709925710">
        <w:r>
          <w:rPr>
            <w:rStyle w:val="IndexLink"/>
          </w:rPr>
          <w:t xml:space="preserve"> </w:t>
        </w:r>
        <w:r>
          <w:rPr>
            <w:rStyle w:val="IndexLink"/>
          </w:rPr>
          <w:t>3.15  Enable TECs command</w:t>
          <w:tab/>
          <w:t>9</w:t>
        </w:r>
      </w:hyperlink>
    </w:p>
    <w:p>
      <w:pPr>
        <w:pStyle w:val="Contents3"/>
        <w:tabs>
          <w:tab w:val="right" w:pos="9972" w:leader="dot"/>
        </w:tabs>
        <w:rPr/>
      </w:pPr>
      <w:hyperlink w:anchor="__RefHeading___Toc2955_3497913849">
        <w:r>
          <w:rPr>
            <w:rStyle w:val="IndexLink"/>
          </w:rPr>
          <w:t xml:space="preserve"> </w:t>
        </w:r>
        <w:r>
          <w:rPr>
            <w:rStyle w:val="IndexLink"/>
          </w:rPr>
          <w:t>3.16  Enable TECs command response</w:t>
          <w:tab/>
          <w:t>9</w:t>
        </w:r>
      </w:hyperlink>
    </w:p>
    <w:p>
      <w:pPr>
        <w:pStyle w:val="Contents3"/>
        <w:tabs>
          <w:tab w:val="right" w:pos="9972" w:leader="dot"/>
        </w:tabs>
        <w:rPr/>
      </w:pPr>
      <w:hyperlink w:anchor="__RefHeading___Toc2957_3497913849">
        <w:r>
          <w:rPr>
            <w:rStyle w:val="IndexLink"/>
          </w:rPr>
          <w:t xml:space="preserve"> </w:t>
        </w:r>
        <w:r>
          <w:rPr>
            <w:rStyle w:val="IndexLink"/>
          </w:rPr>
          <w:t>3.17  Disable TECs command</w:t>
          <w:tab/>
          <w:t>9</w:t>
        </w:r>
      </w:hyperlink>
    </w:p>
    <w:p>
      <w:pPr>
        <w:pStyle w:val="Contents3"/>
        <w:tabs>
          <w:tab w:val="right" w:pos="9972" w:leader="dot"/>
        </w:tabs>
        <w:rPr/>
      </w:pPr>
      <w:hyperlink w:anchor="__RefHeading___Toc2959_3497913849">
        <w:r>
          <w:rPr>
            <w:rStyle w:val="IndexLink"/>
          </w:rPr>
          <w:t xml:space="preserve"> </w:t>
        </w:r>
        <w:r>
          <w:rPr>
            <w:rStyle w:val="IndexLink"/>
          </w:rPr>
          <w:t>3.18  Disable TECs response</w:t>
          <w:tab/>
          <w:t>10</w:t>
        </w:r>
      </w:hyperlink>
    </w:p>
    <w:p>
      <w:pPr>
        <w:pStyle w:val="Contents3"/>
        <w:tabs>
          <w:tab w:val="right" w:pos="9972" w:leader="dot"/>
        </w:tabs>
        <w:rPr/>
      </w:pPr>
      <w:hyperlink w:anchor="__RefHeading___Toc2945_3497913849">
        <w:r>
          <w:rPr>
            <w:rStyle w:val="IndexLink"/>
          </w:rPr>
          <w:t xml:space="preserve"> </w:t>
        </w:r>
        <w:r>
          <w:rPr>
            <w:rStyle w:val="IndexLink"/>
          </w:rPr>
          <w:t>3.19  Set chiller set point temperature command</w:t>
          <w:tab/>
          <w:t>10</w:t>
        </w:r>
      </w:hyperlink>
    </w:p>
    <w:p>
      <w:pPr>
        <w:pStyle w:val="Contents3"/>
        <w:tabs>
          <w:tab w:val="right" w:pos="9972" w:leader="dot"/>
        </w:tabs>
        <w:rPr/>
      </w:pPr>
      <w:hyperlink w:anchor="__RefHeading___Toc2947_3497913849">
        <w:r>
          <w:rPr>
            <w:rStyle w:val="IndexLink"/>
          </w:rPr>
          <w:t xml:space="preserve"> </w:t>
        </w:r>
        <w:r>
          <w:rPr>
            <w:rStyle w:val="IndexLink"/>
          </w:rPr>
          <w:t>3.19.1  Set chiller set point temperature response</w:t>
          <w:tab/>
          <w:t>11</w:t>
        </w:r>
      </w:hyperlink>
    </w:p>
    <w:p>
      <w:pPr>
        <w:pStyle w:val="Contents3"/>
        <w:tabs>
          <w:tab w:val="right" w:pos="9972" w:leader="dot"/>
        </w:tabs>
        <w:rPr/>
      </w:pPr>
      <w:hyperlink w:anchor="__RefHeading___Toc2949_3497913849">
        <w:r>
          <w:rPr>
            <w:rStyle w:val="IndexLink"/>
          </w:rPr>
          <w:t xml:space="preserve"> </w:t>
        </w:r>
        <w:r>
          <w:rPr>
            <w:rStyle w:val="IndexLink"/>
          </w:rPr>
          <w:t>3.20  Get chiller set point temperature command</w:t>
          <w:tab/>
          <w:t>11</w:t>
        </w:r>
      </w:hyperlink>
    </w:p>
    <w:p>
      <w:pPr>
        <w:pStyle w:val="Contents3"/>
        <w:tabs>
          <w:tab w:val="right" w:pos="9972" w:leader="dot"/>
        </w:tabs>
        <w:rPr/>
      </w:pPr>
      <w:hyperlink w:anchor="__RefHeading___Toc2951_3497913849">
        <w:r>
          <w:rPr>
            <w:rStyle w:val="IndexLink"/>
          </w:rPr>
          <w:t xml:space="preserve"> </w:t>
        </w:r>
        <w:r>
          <w:rPr>
            <w:rStyle w:val="IndexLink"/>
          </w:rPr>
          <w:t>3.21  Get chiller set point temperature response</w:t>
          <w:tab/>
          <w:t>11</w:t>
        </w:r>
      </w:hyperlink>
    </w:p>
    <w:p>
      <w:pPr>
        <w:pStyle w:val="Contents3"/>
        <w:tabs>
          <w:tab w:val="right" w:pos="9972" w:leader="dot"/>
        </w:tabs>
        <w:rPr/>
      </w:pPr>
      <w:hyperlink w:anchor="__RefHeading___Toc2963_34979138491">
        <w:r>
          <w:rPr>
            <w:rStyle w:val="IndexLink"/>
          </w:rPr>
          <w:t xml:space="preserve"> </w:t>
        </w:r>
        <w:r>
          <w:rPr>
            <w:rStyle w:val="IndexLink"/>
          </w:rPr>
          <w:t>3.23  Start chiller response</w:t>
          <w:tab/>
          <w:t>12</w:t>
        </w:r>
      </w:hyperlink>
    </w:p>
    <w:p>
      <w:pPr>
        <w:pStyle w:val="Contents3"/>
        <w:tabs>
          <w:tab w:val="right" w:pos="9972" w:leader="dot"/>
        </w:tabs>
        <w:rPr/>
      </w:pPr>
      <w:hyperlink w:anchor="__RefHeading___Toc2963_349791384911">
        <w:r>
          <w:rPr>
            <w:rStyle w:val="IndexLink"/>
          </w:rPr>
          <w:t xml:space="preserve"> </w:t>
        </w:r>
        <w:r>
          <w:rPr>
            <w:rStyle w:val="IndexLink"/>
          </w:rPr>
          <w:t>3.25  Stop chiller response</w:t>
          <w:tab/>
          <w:t>13</w:t>
        </w:r>
      </w:hyperlink>
    </w:p>
    <w:p>
      <w:pPr>
        <w:pStyle w:val="Contents3"/>
        <w:tabs>
          <w:tab w:val="right" w:pos="9972" w:leader="dot"/>
        </w:tabs>
        <w:rPr/>
      </w:pPr>
      <w:hyperlink w:anchor="__RefHeading___Toc2951_34979138491">
        <w:r>
          <w:rPr>
            <w:rStyle w:val="IndexLink"/>
          </w:rPr>
          <w:t xml:space="preserve"> </w:t>
        </w:r>
        <w:r>
          <w:rPr>
            <w:rStyle w:val="IndexLink"/>
          </w:rPr>
          <w:t>3.27  Get chiller information response</w:t>
          <w:tab/>
          <w:t>14</w:t>
        </w:r>
      </w:hyperlink>
    </w:p>
    <w:p>
      <w:pPr>
        <w:pStyle w:val="Contents3"/>
        <w:tabs>
          <w:tab w:val="right" w:pos="9972" w:leader="dot"/>
        </w:tabs>
        <w:rPr/>
      </w:pPr>
      <w:hyperlink w:anchor="__RefHeading___Toc2961_3497913849">
        <w:r>
          <w:rPr>
            <w:rStyle w:val="IndexLink"/>
          </w:rPr>
          <w:t xml:space="preserve"> </w:t>
        </w:r>
        <w:r>
          <w:rPr>
            <w:rStyle w:val="IndexLink"/>
          </w:rPr>
          <w:t>3.28  Start up command</w:t>
          <w:tab/>
          <w:t>14</w:t>
        </w:r>
      </w:hyperlink>
    </w:p>
    <w:p>
      <w:pPr>
        <w:pStyle w:val="Contents3"/>
        <w:tabs>
          <w:tab w:val="right" w:pos="9972" w:leader="dot"/>
        </w:tabs>
        <w:rPr/>
      </w:pPr>
      <w:hyperlink w:anchor="__RefHeading___Toc2963_3497913849">
        <w:r>
          <w:rPr>
            <w:rStyle w:val="IndexLink"/>
          </w:rPr>
          <w:t xml:space="preserve"> </w:t>
        </w:r>
        <w:r>
          <w:rPr>
            <w:rStyle w:val="IndexLink"/>
          </w:rPr>
          <w:t>3.29  Start up response</w:t>
          <w:tab/>
          <w:t>14</w:t>
        </w:r>
      </w:hyperlink>
    </w:p>
    <w:p>
      <w:pPr>
        <w:pStyle w:val="Contents3"/>
        <w:tabs>
          <w:tab w:val="right" w:pos="9972" w:leader="dot"/>
        </w:tabs>
        <w:rPr/>
      </w:pPr>
      <w:hyperlink w:anchor="__RefHeading___Toc2965_3497913849">
        <w:r>
          <w:rPr>
            <w:rStyle w:val="IndexLink"/>
          </w:rPr>
          <w:t xml:space="preserve"> </w:t>
        </w:r>
        <w:r>
          <w:rPr>
            <w:rStyle w:val="IndexLink"/>
          </w:rPr>
          <w:t>3.30  Shutdown command</w:t>
          <w:tab/>
          <w:t>15</w:t>
        </w:r>
      </w:hyperlink>
    </w:p>
    <w:p>
      <w:pPr>
        <w:pStyle w:val="Contents3"/>
        <w:tabs>
          <w:tab w:val="right" w:pos="9972" w:leader="dot"/>
        </w:tabs>
        <w:rPr/>
      </w:pPr>
      <w:hyperlink w:anchor="__RefHeading___Toc2967_3497913849">
        <w:r>
          <w:rPr>
            <w:rStyle w:val="IndexLink"/>
          </w:rPr>
          <w:t xml:space="preserve"> </w:t>
        </w:r>
        <w:r>
          <w:rPr>
            <w:rStyle w:val="IndexLink"/>
          </w:rPr>
          <w:t>3.31  Shutdown response</w:t>
          <w:tab/>
          <w:t>15</w:t>
        </w:r>
      </w:hyperlink>
      <w:r>
        <w:rPr>
          <w:rStyle w:val="IndexLink"/>
        </w:rPr>
        <w:fldChar w:fldCharType="end"/>
      </w:r>
    </w:p>
    <w:p>
      <w:pPr>
        <w:pStyle w:val="Normal"/>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r>
    </w:p>
    <w:p>
      <w:pPr>
        <w:pStyle w:val="Normal"/>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r>
      <w:r>
        <w:br w:type="page"/>
      </w:r>
    </w:p>
    <w:p>
      <w:pPr>
        <w:pStyle w:val="Normal"/>
        <w:numPr>
          <w:ilvl w:val="0"/>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Introduction</w:t>
      </w:r>
    </w:p>
    <w:p>
      <w:pPr>
        <w:pStyle w:val="Normal"/>
        <w:rPr/>
      </w:pPr>
      <w:r>
        <w:rPr/>
        <w:t>This section describes the protocol between the control PC and the unit.</w:t>
      </w:r>
    </w:p>
    <w:p>
      <w:pPr>
        <w:pStyle w:val="Normal"/>
        <w:rPr/>
      </w:pPr>
      <w:r>
        <w:rPr/>
      </w:r>
    </w:p>
    <w:p>
      <w:pPr>
        <w:pStyle w:val="Normal"/>
        <w:rPr/>
      </w:pPr>
      <w:r>
        <w:rPr/>
        <w:t>The protocol is command and response and has the following attributes.</w:t>
      </w:r>
    </w:p>
    <w:p>
      <w:pPr>
        <w:pStyle w:val="Normal"/>
        <w:numPr>
          <w:ilvl w:val="0"/>
          <w:numId w:val="3"/>
        </w:numPr>
        <w:rPr/>
      </w:pPr>
      <w:r>
        <w:rPr/>
        <w:t>Start of packet character</w:t>
      </w:r>
    </w:p>
    <w:p>
      <w:pPr>
        <w:pStyle w:val="Normal"/>
        <w:numPr>
          <w:ilvl w:val="1"/>
          <w:numId w:val="3"/>
        </w:numPr>
        <w:rPr/>
      </w:pPr>
      <w:r>
        <w:rPr/>
        <w:t>‘</w:t>
      </w:r>
      <w:r>
        <w:rPr/>
        <w:t>#’ for command from a master</w:t>
      </w:r>
    </w:p>
    <w:p>
      <w:pPr>
        <w:pStyle w:val="Normal"/>
        <w:numPr>
          <w:ilvl w:val="1"/>
          <w:numId w:val="3"/>
        </w:numPr>
        <w:rPr/>
      </w:pPr>
      <w:r>
        <w:rPr/>
        <w:t>‘</w:t>
      </w:r>
      <w:r>
        <w:rPr/>
        <w:t>!’ for a response from a slave</w:t>
      </w:r>
    </w:p>
    <w:p>
      <w:pPr>
        <w:pStyle w:val="Normal"/>
        <w:numPr>
          <w:ilvl w:val="0"/>
          <w:numId w:val="3"/>
        </w:numPr>
        <w:rPr/>
      </w:pPr>
      <w:r>
        <w:rPr/>
        <w:t>An address, master is 0, slaves are 1 - n</w:t>
      </w:r>
    </w:p>
    <w:p>
      <w:pPr>
        <w:pStyle w:val="Normal"/>
        <w:numPr>
          <w:ilvl w:val="0"/>
          <w:numId w:val="3"/>
        </w:numPr>
        <w:rPr/>
      </w:pPr>
      <w:r>
        <w:rPr/>
        <w:t>Sequence number</w:t>
      </w:r>
    </w:p>
    <w:p>
      <w:pPr>
        <w:pStyle w:val="Normal"/>
        <w:numPr>
          <w:ilvl w:val="1"/>
          <w:numId w:val="3"/>
        </w:numPr>
        <w:rPr/>
      </w:pPr>
      <w:r>
        <w:rPr/>
        <w:t>The sequence number sent by the master will be returned back by the slave in replies, this will allow the master to verify whether the response is for the current command.</w:t>
      </w:r>
    </w:p>
    <w:p>
      <w:pPr>
        <w:pStyle w:val="Normal"/>
        <w:numPr>
          <w:ilvl w:val="0"/>
          <w:numId w:val="3"/>
        </w:numPr>
        <w:rPr>
          <w:rFonts w:ascii="Liberation Sans" w:hAnsi="Liberation Sans" w:eastAsia="Noto Sans CJK SC" w:cs="Lohit Devanagari"/>
          <w:b/>
          <w:b/>
          <w:bCs/>
          <w:color w:val="auto"/>
          <w:kern w:val="2"/>
          <w:sz w:val="28"/>
          <w:szCs w:val="28"/>
          <w:lang w:val="en-US" w:eastAsia="zh-CN" w:bidi="hi-IN"/>
        </w:rPr>
      </w:pPr>
      <w:r>
        <w:rPr/>
        <w:t>Packet length and CRC to protect against corrupt packets.</w:t>
      </w:r>
    </w:p>
    <w:p>
      <w:pPr>
        <w:pStyle w:val="Normal"/>
        <w:numPr>
          <w:ilvl w:val="0"/>
          <w:numId w:val="3"/>
        </w:numPr>
        <w:rPr/>
      </w:pPr>
      <w:r>
        <w:rPr/>
        <w:t>End of packet character</w:t>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251460</wp:posOffset>
                </wp:positionH>
                <wp:positionV relativeFrom="paragraph">
                  <wp:posOffset>381635</wp:posOffset>
                </wp:positionV>
                <wp:extent cx="1010920" cy="401320"/>
                <wp:effectExtent l="0" t="0" r="0" b="0"/>
                <wp:wrapNone/>
                <wp:docPr id="1" name="Shape1"/>
                <a:graphic xmlns:a="http://schemas.openxmlformats.org/drawingml/2006/main">
                  <a:graphicData uri="http://schemas.microsoft.com/office/word/2010/wordprocessingShape">
                    <wps:wsp>
                      <wps:cNvSpPr/>
                      <wps:spPr>
                        <a:xfrm>
                          <a:off x="0" y="0"/>
                          <a:ext cx="1010160" cy="4006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Master ID 0</w:t>
                            </w:r>
                          </w:p>
                        </w:txbxContent>
                      </wps:txbx>
                      <wps:bodyPr lIns="0" rIns="0" tIns="0" bIns="0" anchor="ctr">
                        <a:noAutofit/>
                      </wps:bodyPr>
                    </wps:wsp>
                  </a:graphicData>
                </a:graphic>
              </wp:anchor>
            </w:drawing>
          </mc:Choice>
          <mc:Fallback>
            <w:pict>
              <v:rect id="shape_0" ID="Shape1" fillcolor="#729fcf" stroked="t" style="position:absolute;margin-left:19.8pt;margin-top:30.05pt;width:79.5pt;height:31.5pt">
                <w10:wrap type="square"/>
                <v:fill o:detectmouseclick="t" type="solid" color2="#8d6030"/>
                <v:stroke color="#3465a4" joinstyle="round" endcap="flat"/>
                <v:textbox>
                  <w:txbxContent>
                    <w:p>
                      <w:pPr>
                        <w:pStyle w:val="FrameContents"/>
                        <w:overflowPunct w:val="false"/>
                        <w:bidi w:val="0"/>
                        <w:jc w:val="left"/>
                        <w:rPr/>
                      </w:pPr>
                      <w:r>
                        <w:rPr>
                          <w:color w:val="000000"/>
                        </w:rPr>
                        <w:t>Master ID 0</w:t>
                      </w:r>
                    </w:p>
                  </w:txbxContent>
                </v:textbox>
              </v:rect>
            </w:pict>
          </mc:Fallback>
        </mc:AlternateContent>
        <mc:AlternateContent>
          <mc:Choice Requires="wps">
            <w:drawing>
              <wp:anchor behindDoc="0" distT="0" distB="0" distL="0" distR="0" simplePos="0" locked="0" layoutInCell="1" allowOverlap="1" relativeHeight="7">
                <wp:simplePos x="0" y="0"/>
                <wp:positionH relativeFrom="column">
                  <wp:posOffset>2375535</wp:posOffset>
                </wp:positionH>
                <wp:positionV relativeFrom="paragraph">
                  <wp:posOffset>191135</wp:posOffset>
                </wp:positionV>
                <wp:extent cx="1077595" cy="420370"/>
                <wp:effectExtent l="0" t="0" r="0" b="0"/>
                <wp:wrapNone/>
                <wp:docPr id="3" name="Shape2"/>
                <a:graphic xmlns:a="http://schemas.openxmlformats.org/drawingml/2006/main">
                  <a:graphicData uri="http://schemas.microsoft.com/office/word/2010/wordprocessingShape">
                    <wps:wsp>
                      <wps:cNvSpPr/>
                      <wps:spPr>
                        <a:xfrm>
                          <a:off x="0" y="0"/>
                          <a:ext cx="1077120" cy="41976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left"/>
                              <w:rPr/>
                            </w:pPr>
                            <w:r>
                              <w:rPr>
                                <w:color w:val="000000"/>
                              </w:rPr>
                              <w:t>Slave ID 1</w:t>
                            </w:r>
                          </w:p>
                        </w:txbxContent>
                      </wps:txbx>
                      <wps:bodyPr lIns="90000" rIns="90000" tIns="45000" bIns="45000">
                        <a:noAutofit/>
                      </wps:bodyPr>
                    </wps:wsp>
                  </a:graphicData>
                </a:graphic>
              </wp:anchor>
            </w:drawing>
          </mc:Choice>
          <mc:Fallback>
            <w:pict>
              <v:rect id="shape_0" ID="Shape2" fillcolor="#729fcf" stroked="t" style="position:absolute;margin-left:187.05pt;margin-top:15.05pt;width:84.75pt;height:33pt">
                <w10:wrap type="square"/>
                <v:fill o:detectmouseclick="t" type="solid" color2="#8d6030"/>
                <v:stroke color="#3465a4" joinstyle="round" endcap="flat"/>
                <v:textbox>
                  <w:txbxContent>
                    <w:p>
                      <w:pPr>
                        <w:pStyle w:val="FrameContents"/>
                        <w:overflowPunct w:val="false"/>
                        <w:bidi w:val="0"/>
                        <w:jc w:val="left"/>
                        <w:rPr/>
                      </w:pPr>
                      <w:r>
                        <w:rPr>
                          <w:color w:val="000000"/>
                        </w:rPr>
                        <w:t>Slave ID 1</w:t>
                      </w:r>
                    </w:p>
                  </w:txbxContent>
                </v:textbox>
              </v:rect>
            </w:pict>
          </mc:Fallback>
        </mc:AlternateContent>
      </w:r>
      <w:r>
        <mc:AlternateContent>
          <mc:Choice Requires="wps">
            <w:drawing>
              <wp:anchor behindDoc="0" distT="0" distB="0" distL="114300" distR="114300" simplePos="0" locked="0" layoutInCell="1" allowOverlap="1" relativeHeight="3">
                <wp:simplePos x="0" y="0"/>
                <wp:positionH relativeFrom="column">
                  <wp:posOffset>-9525</wp:posOffset>
                </wp:positionH>
                <wp:positionV relativeFrom="paragraph">
                  <wp:posOffset>610235</wp:posOffset>
                </wp:positionV>
                <wp:extent cx="1075690" cy="418465"/>
                <wp:effectExtent l="0" t="0" r="0" b="0"/>
                <wp:wrapSquare wrapText="bothSides"/>
                <wp:docPr id="5" name=""/>
                <a:graphic xmlns:a="http://schemas.openxmlformats.org/drawingml/2006/main">
                  <a:graphicData uri="http://schemas.microsoft.com/office/word/2010/wordprocessingShape">
                    <wps:wsp>
                      <wps:cNvSpPr txBox="1"/>
                      <wps:spPr>
                        <a:xfrm>
                          <a:off x="0" y="0"/>
                          <a:ext cx="1075690" cy="418465"/>
                        </a:xfrm>
                        <a:prstGeom prst="rect"/>
                        <a:solidFill>
                          <a:srgbClr val="729FCF"/>
                        </a:solidFill>
                        <a:ln w="635">
                          <a:solidFill>
                            <a:srgbClr val="3465A4"/>
                          </a:solidFill>
                        </a:ln>
                      </wps:spPr>
                      <wps:txbx>
                        <w:txbxContent>
                          <w:p>
                            <w:pPr>
                              <w:pStyle w:val="FrameContents"/>
                              <w:overflowPunct w:val="false"/>
                              <w:bidi w:val="0"/>
                              <w:jc w:val="left"/>
                              <w:rPr/>
                            </w:pPr>
                            <w:r>
                              <w:rPr>
                                <w:color w:val="000000"/>
                              </w:rPr>
                              <w:t>Slave ID 2</w:t>
                            </w:r>
                          </w:p>
                        </w:txbxContent>
                      </wps:txbx>
                      <wps:bodyPr anchor="t" lIns="91440" tIns="45720" rIns="91440" bIns="45720">
                        <a:noAutofit/>
                      </wps:bodyPr>
                    </wps:wsp>
                  </a:graphicData>
                </a:graphic>
              </wp:anchor>
            </w:drawing>
          </mc:Choice>
          <mc:Fallback>
            <w:pict>
              <v:rect fillcolor="#729FCF" strokecolor="#3465A4" strokeweight="0pt" style="position:absolute;rotation:0;width:84.7pt;height:32.95pt;mso-wrap-distance-left:9pt;mso-wrap-distance-right:9pt;mso-wrap-distance-top:0pt;mso-wrap-distance-bottom:0pt;margin-top:48.05pt;mso-position-vertical-relative:text;margin-left:-0.75pt;mso-position-horizontal-relative:text">
                <v:textbox>
                  <w:txbxContent>
                    <w:p>
                      <w:pPr>
                        <w:pStyle w:val="FrameContents"/>
                        <w:overflowPunct w:val="false"/>
                        <w:bidi w:val="0"/>
                        <w:jc w:val="left"/>
                        <w:rPr/>
                      </w:pPr>
                      <w:r>
                        <w:rPr>
                          <w:color w:val="000000"/>
                        </w:rPr>
                        <w:t>Slave ID 2</w:t>
                      </w:r>
                    </w:p>
                  </w:txbxContent>
                </v:textbox>
                <w10:wrap type="square"/>
              </v:rect>
            </w:pict>
          </mc:Fallback>
        </mc:AlternateContent>
      </w:r>
      <w:r>
        <mc:AlternateContent>
          <mc:Choice Requires="wps">
            <w:drawing>
              <wp:anchor behindDoc="0" distT="0" distB="0" distL="114300" distR="114300" simplePos="0" locked="0" layoutInCell="1" allowOverlap="1" relativeHeight="3">
                <wp:simplePos x="0" y="0"/>
                <wp:positionH relativeFrom="column">
                  <wp:posOffset>-9525</wp:posOffset>
                </wp:positionH>
                <wp:positionV relativeFrom="paragraph">
                  <wp:posOffset>610235</wp:posOffset>
                </wp:positionV>
                <wp:extent cx="1075690" cy="418465"/>
                <wp:effectExtent l="0" t="0" r="0" b="0"/>
                <wp:wrapSquare wrapText="bothSides"/>
                <wp:docPr id="6" name=""/>
                <a:graphic xmlns:a="http://schemas.openxmlformats.org/drawingml/2006/main">
                  <a:graphicData uri="http://schemas.microsoft.com/office/word/2010/wordprocessingShape">
                    <wps:wsp>
                      <wps:cNvSpPr txBox="1"/>
                      <wps:spPr>
                        <a:xfrm>
                          <a:off x="0" y="0"/>
                          <a:ext cx="1075690" cy="418465"/>
                        </a:xfrm>
                        <a:prstGeom prst="rect"/>
                        <a:solidFill>
                          <a:srgbClr val="729FCF"/>
                        </a:solidFill>
                        <a:ln w="635">
                          <a:solidFill>
                            <a:srgbClr val="3465A4"/>
                          </a:solidFill>
                        </a:ln>
                      </wps:spPr>
                      <wps:txbx>
                        <w:txbxContent>
                          <w:p>
                            <w:pPr>
                              <w:pStyle w:val="FrameContents"/>
                              <w:overflowPunct w:val="false"/>
                              <w:bidi w:val="0"/>
                              <w:jc w:val="left"/>
                              <w:rPr/>
                            </w:pPr>
                            <w:r>
                              <w:rPr>
                                <w:color w:val="000000"/>
                              </w:rPr>
                              <w:t>Slave ID 2</w:t>
                            </w:r>
                          </w:p>
                        </w:txbxContent>
                      </wps:txbx>
                      <wps:bodyPr anchor="t" lIns="91440" tIns="45720" rIns="91440" bIns="45720">
                        <a:noAutofit/>
                      </wps:bodyPr>
                    </wps:wsp>
                  </a:graphicData>
                </a:graphic>
              </wp:anchor>
            </w:drawing>
          </mc:Choice>
          <mc:Fallback>
            <w:pict>
              <v:rect fillcolor="#729FCF" strokecolor="#3465A4" strokeweight="0pt" style="position:absolute;rotation:0;width:84.7pt;height:32.95pt;mso-wrap-distance-left:9pt;mso-wrap-distance-right:9pt;mso-wrap-distance-top:0pt;mso-wrap-distance-bottom:0pt;margin-top:48.05pt;mso-position-vertical-relative:text;margin-left:-0.75pt;mso-position-horizontal-relative:text">
                <v:textbox>
                  <w:txbxContent>
                    <w:p>
                      <w:pPr>
                        <w:pStyle w:val="FrameContents"/>
                        <w:overflowPunct w:val="false"/>
                        <w:bidi w:val="0"/>
                        <w:jc w:val="left"/>
                        <w:rPr/>
                      </w:pPr>
                      <w:r>
                        <w:rPr>
                          <w:color w:val="000000"/>
                        </w:rPr>
                        <w:t>Slave ID 2</w:t>
                      </w:r>
                    </w:p>
                  </w:txbxContent>
                </v:textbox>
                <w10:wrap type="square"/>
              </v:rect>
            </w:pict>
          </mc:Fallback>
        </mc:AlternateContent>
      </w:r>
    </w:p>
    <w:p>
      <w:pPr>
        <w:pStyle w:val="Normal"/>
        <w:rPr/>
      </w:pPr>
      <w:r>
        <w:rPr/>
      </w:r>
    </w:p>
    <w:p>
      <w:pPr>
        <w:pStyle w:val="Normal"/>
        <w:rPr/>
      </w:pPr>
      <w:r>
        <w:rPr/>
        <mc:AlternateContent>
          <mc:Choice Requires="wps">
            <w:drawing>
              <wp:anchor behindDoc="0" distT="0" distB="0" distL="0" distR="0" simplePos="0" locked="0" layoutInCell="1" allowOverlap="1" relativeHeight="5">
                <wp:simplePos x="0" y="0"/>
                <wp:positionH relativeFrom="column">
                  <wp:posOffset>1275715</wp:posOffset>
                </wp:positionH>
                <wp:positionV relativeFrom="paragraph">
                  <wp:posOffset>257175</wp:posOffset>
                </wp:positionV>
                <wp:extent cx="1146175" cy="194310"/>
                <wp:effectExtent l="0" t="0" r="0" b="0"/>
                <wp:wrapNone/>
                <wp:docPr id="7" name="Shape4"/>
                <a:graphic xmlns:a="http://schemas.openxmlformats.org/drawingml/2006/main">
                  <a:graphicData uri="http://schemas.microsoft.com/office/word/2010/wordprocessingShape">
                    <wps:wsp>
                      <wps:cNvSpPr/>
                      <wps:spPr>
                        <a:xfrm flipV="1">
                          <a:off x="0" y="0"/>
                          <a:ext cx="1146240" cy="18720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99.85pt,13.1pt" to="190.05pt,27.8pt" ID="Shape4" stroked="t" style="position:absolute;flip:y">
                <v:stroke color="#3465a4" startarrow="block" endarrow="block" startarrowwidth="medium" startarrowlength="medium" endarrowwidth="medium" endarrowlength="medium" joinstyle="round" endcap="flat"/>
                <v:fill o:detectmouseclick="t" on="false"/>
              </v:line>
            </w:pict>
          </mc:Fallback>
        </mc:AlternateContent>
      </w:r>
    </w:p>
    <w:p>
      <w:pPr>
        <w:pStyle w:val="Normal"/>
        <w:rPr/>
      </w:pPr>
      <w:r>
        <w:rPr/>
        <mc:AlternateContent>
          <mc:Choice Requires="wps">
            <w:drawing>
              <wp:anchor behindDoc="0" distT="0" distB="0" distL="0" distR="0" simplePos="0" locked="0" layoutInCell="1" allowOverlap="1" relativeHeight="6">
                <wp:simplePos x="0" y="0"/>
                <wp:positionH relativeFrom="column">
                  <wp:posOffset>1358900</wp:posOffset>
                </wp:positionH>
                <wp:positionV relativeFrom="paragraph">
                  <wp:posOffset>514350</wp:posOffset>
                </wp:positionV>
                <wp:extent cx="1127760" cy="534035"/>
                <wp:effectExtent l="0" t="0" r="0" b="0"/>
                <wp:wrapNone/>
                <wp:docPr id="8" name="Shape5"/>
                <a:graphic xmlns:a="http://schemas.openxmlformats.org/drawingml/2006/main">
                  <a:graphicData uri="http://schemas.microsoft.com/office/word/2010/wordprocessingShape">
                    <wps:wsp>
                      <wps:cNvSpPr/>
                      <wps:spPr>
                        <a:xfrm>
                          <a:off x="0" y="0"/>
                          <a:ext cx="1127160" cy="533520"/>
                        </a:xfrm>
                        <a:prstGeom prst="line">
                          <a:avLst/>
                        </a:prstGeom>
                        <a:ln>
                          <a:solidFill>
                            <a:srgbClr val="3465a4"/>
                          </a:solidFill>
                          <a:headEnd len="med" type="triangle" w="med"/>
                          <a:tailEnd len="med" type="triangle" w="med"/>
                        </a:ln>
                      </wps:spPr>
                      <wps:style>
                        <a:lnRef idx="0"/>
                        <a:fillRef idx="0"/>
                        <a:effectRef idx="0"/>
                        <a:fontRef idx="minor"/>
                      </wps:style>
                      <wps:bodyPr/>
                    </wps:wsp>
                  </a:graphicData>
                </a:graphic>
              </wp:anchor>
            </w:drawing>
          </mc:Choice>
          <mc:Fallback>
            <w:pict>
              <v:line id="shape_0" from="102.3pt,23.55pt" to="191pt,65.5pt" ID="Shape5" stroked="t" style="position:absolute">
                <v:stroke color="#3465a4" startarrow="block" endarrow="block" startarrowwidth="medium" startarrowlength="medium" endarrowwidth="medium" endarrowlength="medium" joinstyle="round" endcap="flat"/>
                <v:fill o:detectmouseclick="t" on="false"/>
              </v:line>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0"/>
        </w:numPr>
        <w:ind w:left="360" w:hanging="0"/>
        <w:rPr>
          <w:rFonts w:ascii="Liberation Serif" w:hAnsi="Liberation Serif" w:eastAsia="Noto Sans CJK SC" w:cs="Lohit Devanagari"/>
          <w:color w:val="auto"/>
          <w:kern w:val="2"/>
          <w:sz w:val="24"/>
          <w:szCs w:val="24"/>
          <w:lang w:val="en-US" w:eastAsia="zh-CN" w:bidi="hi-IN"/>
        </w:rPr>
      </w:pPr>
      <w:r>
        <w:rPr>
          <w:rFonts w:eastAsia="Noto Sans CJK SC" w:cs="Lohit Devanagari"/>
          <w:color w:val="auto"/>
          <w:kern w:val="2"/>
          <w:sz w:val="24"/>
          <w:szCs w:val="24"/>
          <w:lang w:val="en-US" w:eastAsia="zh-CN" w:bidi="hi-IN"/>
        </w:rPr>
      </w:r>
    </w:p>
    <w:p>
      <w:pPr>
        <w:pStyle w:val="Heading3"/>
        <w:numPr>
          <w:ilvl w:val="0"/>
          <w:numId w:val="2"/>
        </w:numPr>
        <w:rPr>
          <w:rFonts w:ascii="Liberation Sans" w:hAnsi="Liberation Sans" w:eastAsia="Noto Sans CJK SC" w:cs="Lohit Devanagari"/>
          <w:b/>
          <w:b/>
          <w:bCs/>
          <w:color w:val="auto"/>
          <w:kern w:val="2"/>
          <w:sz w:val="28"/>
          <w:szCs w:val="28"/>
          <w:lang w:val="en-US" w:eastAsia="zh-CN" w:bidi="hi-IN"/>
        </w:rPr>
      </w:pPr>
      <w:bookmarkStart w:id="0" w:name="__RefHeading___Toc2917_3497913849"/>
      <w:bookmarkEnd w:id="0"/>
      <w:r>
        <w:rPr>
          <w:rFonts w:eastAsia="Noto Sans CJK SC" w:cs="Lohit Devanagari"/>
          <w:b/>
          <w:bCs/>
          <w:color w:val="auto"/>
          <w:kern w:val="2"/>
          <w:sz w:val="28"/>
          <w:szCs w:val="28"/>
          <w:lang w:val="en-US" w:eastAsia="zh-CN" w:bidi="hi-IN"/>
        </w:rPr>
        <w:t>General message format</w:t>
      </w:r>
    </w:p>
    <w:p>
      <w:pPr>
        <w:pStyle w:val="Normal"/>
        <w:rPr/>
      </w:pPr>
      <w:r>
        <w:rPr/>
      </w:r>
    </w:p>
    <w:p>
      <w:pPr>
        <w:pStyle w:val="Normal"/>
        <w:rPr/>
      </w:pPr>
      <w:r>
        <w:rPr/>
        <w:t>Following message attributes are present in all messages.</w:t>
      </w:r>
    </w:p>
    <w:p>
      <w:pPr>
        <w:pStyle w:val="Normal"/>
        <w:rPr/>
      </w:pPr>
      <w:r>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1170"/>
        <w:gridCol w:w="2157"/>
        <w:gridCol w:w="6648"/>
      </w:tblGrid>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Byte(s)</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 / Value(s)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p>
            <w:pPr>
              <w:pStyle w:val="TableContents"/>
              <w:rPr/>
            </w:pPr>
            <w:r>
              <w:rPr/>
              <w:t xml:space="preserve"> </w:t>
            </w:r>
            <w:r>
              <w:rPr/>
              <w:t>- ‘#’ for packets from master</w:t>
            </w:r>
          </w:p>
          <w:p>
            <w:pPr>
              <w:pStyle w:val="TableContents"/>
              <w:rPr/>
            </w:pPr>
            <w:r>
              <w:rPr/>
              <w:t xml:space="preserve"> </w:t>
            </w:r>
            <w:r>
              <w:rPr/>
              <w:t>- ‘!’ for packets from slave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w:t>
            </w:r>
          </w:p>
          <w:p>
            <w:pPr>
              <w:pStyle w:val="TableContents"/>
              <w:rPr/>
            </w:pPr>
            <w:r>
              <w:rPr/>
              <w:t xml:space="preserve"> – </w:t>
            </w:r>
            <w:r>
              <w:rPr/>
              <w:t>this is the entire length of the packet</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w:t>
            </w:r>
          </w:p>
          <w:p>
            <w:pPr>
              <w:pStyle w:val="TableContents"/>
              <w:rPr/>
            </w:pPr>
            <w:r>
              <w:rPr/>
              <w:t xml:space="preserve"> – </w:t>
            </w:r>
            <w:r>
              <w:rPr/>
              <w:t>0 for master, 1 – n for slaves</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w:t>
            </w:r>
          </w:p>
          <w:p>
            <w:pPr>
              <w:pStyle w:val="TableContents"/>
              <w:rPr/>
            </w:pPr>
            <w:r>
              <w:rPr/>
              <w:t xml:space="preserve"> </w:t>
            </w:r>
            <w:r>
              <w:rPr/>
              <w:t>- chosen by the master, can be any number</w:t>
            </w:r>
          </w:p>
          <w:p>
            <w:pPr>
              <w:pStyle w:val="TableContents"/>
              <w:rPr/>
            </w:pPr>
            <w:r>
              <w:rPr/>
              <w:t xml:space="preserve"> </w:t>
            </w:r>
            <w:r>
              <w:rPr/>
              <w:t>- returned by the slave in command response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p>
            <w:pPr>
              <w:pStyle w:val="TableContents"/>
              <w:rPr/>
            </w:pPr>
            <w:r>
              <w:rPr/>
              <w:t xml:space="preserve"> </w:t>
            </w:r>
            <w:r>
              <w:rPr/>
              <w:t>- identifies the command, i.e. getStatus, startUp, etc.</w:t>
            </w:r>
          </w:p>
        </w:tc>
      </w:tr>
      <w:tr>
        <w:trPr/>
        <w:tc>
          <w:tcPr>
            <w:tcW w:w="1170"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7 – N</w:t>
            </w:r>
          </w:p>
        </w:tc>
        <w:tc>
          <w:tcPr>
            <w:tcW w:w="2157" w:type="dxa"/>
            <w:tcBorders>
              <w:top w:val="single" w:sz="2" w:space="0" w:color="000000"/>
              <w:left w:val="single" w:sz="2" w:space="0" w:color="000000"/>
              <w:bottom w:val="single" w:sz="2" w:space="0" w:color="000000"/>
              <w:insideH w:val="single" w:sz="2" w:space="0" w:color="000000"/>
            </w:tcBorders>
            <w:shd w:fill="FFF450" w:val="clear"/>
          </w:tcPr>
          <w:p>
            <w:pPr>
              <w:pStyle w:val="TableContents"/>
              <w:rPr>
                <w:b/>
                <w:b/>
                <w:bCs/>
              </w:rPr>
            </w:pPr>
            <w:r>
              <w:rPr>
                <w:b/>
                <w:bCs/>
              </w:rPr>
              <w: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FF450" w:val="clear"/>
          </w:tcPr>
          <w:p>
            <w:pPr>
              <w:pStyle w:val="TableContents"/>
              <w:rPr>
                <w:b/>
                <w:b/>
                <w:bCs/>
              </w:rPr>
            </w:pPr>
            <w:r>
              <w:rPr>
                <w:b/>
                <w:bCs/>
              </w:rPr>
              <w:t>Message body if present required for the command</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+ 1</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117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N + 3</w:t>
            </w:r>
          </w:p>
        </w:tc>
        <w:tc>
          <w:tcPr>
            <w:tcW w:w="215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664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p>
      <w:pPr>
        <w:pStyle w:val="Normal"/>
        <w:rPr/>
      </w:pPr>
      <w:r>
        <w:rPr/>
      </w:r>
    </w:p>
    <w:p>
      <w:pPr>
        <w:pStyle w:val="Heading3"/>
        <w:numPr>
          <w:ilvl w:val="0"/>
          <w:numId w:val="2"/>
        </w:numPr>
        <w:rPr/>
      </w:pPr>
      <w:bookmarkStart w:id="1" w:name="__RefHeading___Toc3203_3575711549"/>
      <w:bookmarkEnd w:id="1"/>
      <w:r>
        <w:rPr/>
        <w:t>Message definitions</w:t>
      </w:r>
    </w:p>
    <w:p>
      <w:pPr>
        <w:pStyle w:val="Heading3"/>
        <w:numPr>
          <w:ilvl w:val="1"/>
          <w:numId w:val="2"/>
        </w:numPr>
        <w:rPr/>
      </w:pPr>
      <w:bookmarkStart w:id="2" w:name="__RefHeading___Toc3205_3575711549"/>
      <w:bookmarkEnd w:id="2"/>
      <w:r>
        <w:rPr/>
        <w:t>Get status command</w:t>
      </w:r>
    </w:p>
    <w:p>
      <w:pPr>
        <w:pStyle w:val="Normal"/>
        <w:numPr>
          <w:ilvl w:val="0"/>
          <w:numId w:val="0"/>
        </w:numPr>
        <w:ind w:left="1080" w:hanging="0"/>
        <w:rPr>
          <w:b/>
          <w:b/>
          <w:bCs/>
        </w:rPr>
      </w:pPr>
      <w:r>
        <w:rPr>
          <w:b/>
          <w:bCs/>
        </w:rPr>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rPr/>
      </w:pPr>
      <w:bookmarkStart w:id="3" w:name="__RefHeading___Toc2923_3497913849"/>
      <w:bookmarkEnd w:id="3"/>
      <w:r>
        <w:rPr>
          <w:rFonts w:eastAsia="Noto Sans CJK SC" w:cs="Lohit Devanagari"/>
          <w:b/>
          <w:bCs/>
          <w:color w:val="auto"/>
          <w:kern w:val="2"/>
          <w:sz w:val="28"/>
          <w:szCs w:val="28"/>
          <w:lang w:val="en-US" w:eastAsia="zh-CN" w:bidi="hi-IN"/>
        </w:rPr>
        <w:t>Get status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alert</w:t>
            </w:r>
          </w:p>
          <w:p>
            <w:pPr>
              <w:pStyle w:val="TableContents"/>
              <w:rPr/>
            </w:pPr>
            <w:r>
              <w:rPr/>
              <w:t>0 – no alert present</w:t>
            </w:r>
          </w:p>
          <w:p>
            <w:pPr>
              <w:pStyle w:val="TableContents"/>
              <w:rPr/>
            </w:pPr>
            <w:r>
              <w:rPr/>
              <w:t>1 – alert present – humidity is at or above the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TECs running</w:t>
            </w:r>
          </w:p>
          <w:p>
            <w:pPr>
              <w:pStyle w:val="TableContents"/>
              <w:rPr/>
            </w:pPr>
            <w:r>
              <w:rPr/>
              <w:t>0 – TECs are not running</w:t>
            </w:r>
          </w:p>
          <w:p>
            <w:pPr>
              <w:pStyle w:val="TableContents"/>
              <w:rPr/>
            </w:pPr>
            <w:r>
              <w:rPr/>
              <w:t>1 – TECs are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running</w:t>
            </w:r>
          </w:p>
          <w:p>
            <w:pPr>
              <w:pStyle w:val="TableContents"/>
              <w:rPr/>
            </w:pPr>
            <w:r>
              <w:rPr/>
              <w:t>0 – chiller is not running</w:t>
            </w:r>
          </w:p>
          <w:p>
            <w:pPr>
              <w:pStyle w:val="TableContents"/>
              <w:rPr/>
            </w:pPr>
            <w:r>
              <w:rPr/>
              <w:t>1 – chiller is running</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rPr/>
      </w:pPr>
      <w:bookmarkStart w:id="4" w:name="__RefHeading___Toc2925_3497913849"/>
      <w:bookmarkEnd w:id="4"/>
      <w:r>
        <w:rPr/>
        <w:t>Set humidity threshold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0x0020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Humidity threshold in network byte order, hex value, for example:</w:t>
            </w:r>
          </w:p>
          <w:p>
            <w:pPr>
              <w:pStyle w:val="TableContents"/>
              <w:rPr/>
            </w:pPr>
            <w:r>
              <w:rPr/>
              <w:t xml:space="preserve"> </w:t>
            </w:r>
            <w:r>
              <w:rPr/>
              <w:t>- 0x0020 is 32 – 32% humidity will be the new threshold</w:t>
            </w:r>
          </w:p>
          <w:p>
            <w:pPr>
              <w:pStyle w:val="TableContents"/>
              <w:rPr/>
            </w:pPr>
            <w:r>
              <w:rPr/>
              <w:t xml:space="preserve"> </w:t>
            </w:r>
            <w:r>
              <w:rPr/>
              <w:t>- 0x0030 is 48 – 48% humidity will be the new threshold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‘\r’    (0x000D)</w:t>
            </w:r>
          </w:p>
        </w:tc>
      </w:tr>
    </w:tbl>
    <w:p>
      <w:pPr>
        <w:pStyle w:val="Heading3"/>
        <w:numPr>
          <w:ilvl w:val="1"/>
          <w:numId w:val="2"/>
        </w:numPr>
        <w:ind w:left="0" w:hanging="0"/>
        <w:rPr>
          <w:rFonts w:ascii="Liberation Sans" w:hAnsi="Liberation Sans" w:eastAsia="Noto Sans CJK SC" w:cs="Lohit Devanagari"/>
          <w:b/>
          <w:b/>
          <w:bCs/>
          <w:color w:val="auto"/>
          <w:kern w:val="2"/>
          <w:sz w:val="28"/>
          <w:szCs w:val="28"/>
          <w:lang w:val="en-US" w:eastAsia="zh-CN" w:bidi="hi-IN"/>
        </w:rPr>
      </w:pPr>
      <w:bookmarkStart w:id="5" w:name="__RefHeading___Toc4181_2709925710"/>
      <w:bookmarkEnd w:id="5"/>
      <w:r>
        <w:rPr>
          <w:rFonts w:eastAsia="Noto Sans CJK SC" w:cs="Lohit Devanagari"/>
          <w:b/>
          <w:bCs/>
          <w:color w:val="auto"/>
          <w:kern w:val="2"/>
          <w:sz w:val="28"/>
          <w:szCs w:val="28"/>
          <w:lang w:val="en-US" w:eastAsia="zh-CN" w:bidi="hi-IN"/>
        </w:rPr>
        <w:t>Set Humidity threshold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720" w:hanging="0"/>
        <w:rPr>
          <w:rFonts w:ascii="Liberation Sans" w:hAnsi="Liberation Sans" w:eastAsia="Noto Sans CJK SC" w:cs="Lohit Devanagari"/>
          <w:b/>
          <w:b/>
          <w:bCs/>
          <w:color w:val="auto"/>
          <w:kern w:val="2"/>
          <w:sz w:val="28"/>
          <w:szCs w:val="28"/>
          <w:lang w:val="en-US" w:eastAsia="zh-CN" w:bidi="hi-IN"/>
        </w:rPr>
      </w:pPr>
      <w:bookmarkStart w:id="6" w:name="__RefHeading___Toc2929_3497913849"/>
      <w:bookmarkEnd w:id="6"/>
      <w:r>
        <w:rPr>
          <w:rFonts w:eastAsia="Noto Sans CJK SC" w:cs="Lohit Devanagari"/>
          <w:b/>
          <w:bCs/>
          <w:color w:val="auto"/>
          <w:kern w:val="2"/>
          <w:sz w:val="28"/>
          <w:szCs w:val="28"/>
          <w:lang w:val="en-US" w:eastAsia="zh-CN" w:bidi="hi-IN"/>
        </w:rPr>
        <w:t>Get humidity threshold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rFonts w:ascii="Liberation Sans" w:hAnsi="Liberation Sans" w:eastAsia="Noto Sans CJK SC" w:cs="Lohit Devanagari"/>
          <w:b/>
          <w:b/>
          <w:bCs/>
          <w:color w:val="auto"/>
          <w:kern w:val="2"/>
          <w:sz w:val="28"/>
          <w:szCs w:val="28"/>
          <w:lang w:val="en-US" w:eastAsia="zh-CN" w:bidi="hi-IN"/>
        </w:rPr>
      </w:pPr>
      <w:bookmarkStart w:id="7" w:name="__RefHeading___Toc2931_3497913849"/>
      <w:bookmarkEnd w:id="7"/>
      <w:r>
        <w:rPr>
          <w:rFonts w:eastAsia="Noto Sans CJK SC" w:cs="Lohit Devanagari"/>
          <w:b/>
          <w:bCs/>
          <w:color w:val="auto"/>
          <w:kern w:val="2"/>
          <w:sz w:val="28"/>
          <w:szCs w:val="28"/>
          <w:lang w:val="en-US" w:eastAsia="zh-CN" w:bidi="hi-IN"/>
        </w:rPr>
        <w:t>Get humidity threshold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0x0040</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threshold in network byte order, hex value, for example</w:t>
            </w:r>
          </w:p>
          <w:p>
            <w:pPr>
              <w:pStyle w:val="TableContents"/>
              <w:rPr/>
            </w:pPr>
            <w:r>
              <w:rPr/>
              <w:t xml:space="preserve"> </w:t>
            </w:r>
            <w:r>
              <w:rPr/>
              <w:t>- 0x0040 – current threshold is 64%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8" w:name="__RefHeading___Toc2933_3497913849"/>
      <w:bookmarkEnd w:id="8"/>
      <w:r>
        <w:rPr/>
        <w:t>Get humidity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9" w:name="__RefHeading___Toc2935_3497913849"/>
      <w:bookmarkEnd w:id="9"/>
      <w:r>
        <w:rPr/>
        <w:t xml:space="preserve">Get humidity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0x07</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Current humidity in null terminated ASCII string, for example client will send:</w:t>
            </w:r>
          </w:p>
          <w:p>
            <w:pPr>
              <w:pStyle w:val="TableContents"/>
              <w:rPr/>
            </w:pPr>
            <w:r>
              <w:rPr/>
              <w:t xml:space="preserve"> </w:t>
            </w:r>
            <w:r>
              <w:rPr/>
              <w:t>- “47.9”0x00 for 47.9% humidity</w:t>
            </w:r>
          </w:p>
          <w:p>
            <w:pPr>
              <w:pStyle w:val="TableContents"/>
              <w:rPr/>
            </w:pPr>
            <w:r>
              <w:rPr/>
              <w:t xml:space="preserve"> </w:t>
            </w:r>
            <w:r>
              <w:rPr/>
              <w:t>- “58.3”0x00 for 58.3% humidity</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0" w:name="__RefHeading___Toc2937_3497913849"/>
      <w:bookmarkEnd w:id="10"/>
      <w:r>
        <w:rPr/>
        <w:t>Set TEC set point temperature command</w:t>
      </w:r>
    </w:p>
    <w:tbl>
      <w:tblPr>
        <w:tblW w:w="999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48"/>
        <w:gridCol w:w="990"/>
        <w:gridCol w:w="6751"/>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0x08</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to set, 16bit integer value in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master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1" w:name="__RefHeading___Toc2939_3497913849"/>
      <w:bookmarkEnd w:id="11"/>
      <w:r>
        <w:rPr/>
        <w:t xml:space="preserve">Set TEC set point temperature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0x09</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2" w:name="__RefHeading___Toc2941_3497913849"/>
      <w:bookmarkEnd w:id="12"/>
      <w:r>
        <w:rPr/>
        <w:t>Get TEC set point temperature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3" w:name="__RefHeading___Toc2943_3497913849"/>
      <w:bookmarkEnd w:id="13"/>
      <w:r>
        <w:rPr/>
        <w:t xml:space="preserve">Get TEC set point temperature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0x0B</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temperature in null terminated ASCII string, for example client will send something like the following, leading +/- sign supported, two decimal points supported.</w:t>
            </w:r>
          </w:p>
          <w:p>
            <w:pPr>
              <w:pStyle w:val="TableContents"/>
              <w:rPr/>
            </w:pPr>
            <w:r>
              <w:rPr/>
              <w:t xml:space="preserve"> </w:t>
            </w:r>
            <w:r>
              <w:rPr/>
              <w:t>- “-23.71”0x00 for -23.71C for the TEC</w:t>
            </w:r>
          </w:p>
          <w:p>
            <w:pPr>
              <w:pStyle w:val="TableContents"/>
              <w:rPr/>
            </w:pPr>
            <w:r>
              <w:rPr/>
              <w:t xml:space="preserve"> </w:t>
            </w:r>
            <w:r>
              <w:rPr/>
              <w:t>- or “5”0x00 for +5.00C for the TEC</w:t>
            </w:r>
          </w:p>
          <w:p>
            <w:pPr>
              <w:pStyle w:val="TableContents"/>
              <w:rPr/>
            </w:pPr>
            <w:r>
              <w:rPr/>
              <w:t xml:space="preserve"> </w:t>
            </w:r>
            <w:r>
              <w:rPr/>
              <w:t>- or “+10.83” for +10.83C for the TEC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19, 20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4" w:name="__RefHeading___Toc4183_2709925710"/>
      <w:bookmarkEnd w:id="14"/>
      <w:r>
        <w:rPr/>
        <w:t xml:space="preserve">Get TEC information command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5" w:name="__RefHeading___Toc2943_34979138492"/>
      <w:bookmarkEnd w:id="15"/>
      <w:r>
        <w:rPr/>
        <w:t>Get TEC information command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address, hex, network byte order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TEC device type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13 - 16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h/w version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17 - 20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f/w version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21 – 22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23 – 26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uint32_t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0x1234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Serial number – see Meerstetter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27, 28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29, 30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6" w:name="__RefHeading___Toc4185_2709925710"/>
      <w:bookmarkEnd w:id="16"/>
      <w:r>
        <w:rPr/>
        <w:t>Enable TECs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7" w:name="__RefHeading___Toc2955_3497913849"/>
      <w:bookmarkEnd w:id="17"/>
      <w:r>
        <w:rPr/>
        <w:t>Enable TECs command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0x0F</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8" w:name="__RefHeading___Toc2957_3497913849"/>
      <w:bookmarkEnd w:id="18"/>
      <w:r>
        <w:rPr/>
        <w:t>Disable TECs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hanging="0"/>
        <w:rPr/>
      </w:pPr>
      <w:bookmarkStart w:id="19" w:name="__RefHeading___Toc2959_3497913849"/>
      <w:bookmarkEnd w:id="19"/>
      <w:r>
        <w:rPr/>
        <w:t>Disable TECs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0" w:name="__RefHeading___Toc2945_3497913849"/>
      <w:bookmarkStart w:id="21" w:name="__DdeLink__4179_2709925710"/>
      <w:bookmarkEnd w:id="20"/>
      <w:r>
        <w:rPr/>
        <w:t>Set chiller set point temperature command</w:t>
      </w:r>
      <w:bookmarkEnd w:id="21"/>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18)</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master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2"/>
          <w:numId w:val="2"/>
        </w:numPr>
        <w:ind w:left="0" w:hanging="0"/>
        <w:rPr/>
      </w:pPr>
      <w:bookmarkStart w:id="22" w:name="__RefHeading___Toc2947_3497913849"/>
      <w:bookmarkEnd w:id="22"/>
      <w:r>
        <w:rPr/>
        <w:t>Set chiller set point temperature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14)</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0x13</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0 – fail</w:t>
            </w:r>
          </w:p>
          <w:p>
            <w:pPr>
              <w:pStyle w:val="TableContents"/>
              <w:rPr/>
            </w:pPr>
            <w:r>
              <w:rPr/>
              <w:t xml:space="preserve">1 – success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3" w:name="__RefHeading___Toc2949_3497913849"/>
      <w:bookmarkEnd w:id="23"/>
      <w:r>
        <w:rPr/>
        <w:t>Get chiller set point temperature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0x14</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4" w:name="__RefHeading___Toc2951_3497913849"/>
      <w:bookmarkEnd w:id="24"/>
      <w:r>
        <w:rPr/>
        <w:t>Get chiller set point temperature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0x15</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7 - 14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8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set point temperature in null terminated ASCII string, for example client will send something like the following, leading +/- sign supported, two decimal points supported.</w:t>
            </w:r>
          </w:p>
          <w:p>
            <w:pPr>
              <w:pStyle w:val="TableContents"/>
              <w:rPr/>
            </w:pPr>
            <w:r>
              <w:rPr/>
              <w:t xml:space="preserve"> </w:t>
            </w:r>
            <w:r>
              <w:rPr/>
              <w:t>- “-23.71”0x00 for -23.71C</w:t>
            </w:r>
          </w:p>
          <w:p>
            <w:pPr>
              <w:pStyle w:val="TableContents"/>
              <w:rPr/>
            </w:pPr>
            <w:r>
              <w:rPr/>
              <w:t xml:space="preserve"> </w:t>
            </w:r>
            <w:r>
              <w:rPr/>
              <w:t>- or “5”0x00 for +5.00C</w:t>
            </w:r>
          </w:p>
          <w:p>
            <w:pPr>
              <w:pStyle w:val="TableContents"/>
              <w:rPr/>
            </w:pPr>
            <w:r>
              <w:rPr/>
              <w:t xml:space="preserve"> </w:t>
            </w:r>
            <w:r>
              <w:rPr/>
              <w:t>- or “+10.83” for +10.83C</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15, 16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17, 18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Start chiller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0x16</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5" w:name="__RefHeading___Toc2963_34979138491"/>
      <w:bookmarkEnd w:id="25"/>
      <w:r>
        <w:rPr/>
        <w:t xml:space="preserve">Start chiller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0x17</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Stop chiller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0x18</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6" w:name="__RefHeading___Toc2963_349791384911"/>
      <w:bookmarkEnd w:id="26"/>
      <w:r>
        <w:rPr/>
        <w:t xml:space="preserve">Stop chiller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0x19</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numPr>
          <w:ilvl w:val="1"/>
          <w:numId w:val="2"/>
        </w:numPr>
        <w:rPr>
          <w:rFonts w:ascii="Liberation Sans" w:hAnsi="Liberation Sans" w:eastAsia="Noto Sans CJK SC" w:cs="Lohit Devanagari"/>
          <w:b/>
          <w:b/>
          <w:bCs/>
          <w:color w:val="auto"/>
          <w:kern w:val="2"/>
          <w:sz w:val="28"/>
          <w:szCs w:val="28"/>
          <w:lang w:val="en-US" w:eastAsia="zh-CN" w:bidi="hi-IN"/>
        </w:rPr>
      </w:pPr>
      <w:r>
        <w:rPr>
          <w:rFonts w:eastAsia="Noto Sans CJK SC" w:cs="Lohit Devanagari" w:ascii="Liberation Sans" w:hAnsi="Liberation Sans"/>
          <w:b/>
          <w:bCs/>
          <w:color w:val="auto"/>
          <w:kern w:val="2"/>
          <w:sz w:val="28"/>
          <w:szCs w:val="28"/>
          <w:lang w:val="en-US" w:eastAsia="zh-CN" w:bidi="hi-IN"/>
        </w:rPr>
        <w:t>Get chiller information</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12)</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7" w:name="__RefHeading___Toc2951_34979138491"/>
      <w:bookmarkEnd w:id="27"/>
      <w:r>
        <w:rPr/>
        <w:t>Get chiller information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0x0012</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20)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Master address in network byte order </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0x1B</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7 - 27</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20 byte null term string</w:t>
            </w:r>
          </w:p>
          <w:p>
            <w:pPr>
              <w:pStyle w:val="TableContents"/>
              <w:rPr/>
            </w:pPr>
            <w:r>
              <w:rPr/>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Chiller name – see Huber documentation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28, 29</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30, 31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8" w:name="__RefHeading___Toc2961_3497913849"/>
      <w:bookmarkEnd w:id="28"/>
      <w:r>
        <w:rPr/>
        <w:t>Start up command</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29" w:name="__RefHeading___Toc2963_3497913849"/>
      <w:bookmarkEnd w:id="29"/>
      <w:r>
        <w:rPr/>
        <w:t xml:space="preserve">Start up response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30" w:name="__RefHeading___Toc2965_3497913849"/>
      <w:bookmarkEnd w:id="30"/>
      <w:r>
        <w:rPr/>
        <w:t xml:space="preserve">Shutdown command </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0x0A</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10)</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Address in network byte order (assuming sending to slave ID 1)</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(master can pick any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Heading3"/>
        <w:numPr>
          <w:ilvl w:val="1"/>
          <w:numId w:val="2"/>
        </w:numPr>
        <w:ind w:left="0" w:hanging="0"/>
        <w:rPr/>
      </w:pPr>
      <w:bookmarkStart w:id="31" w:name="__RefHeading___Toc2967_3497913849"/>
      <w:bookmarkEnd w:id="31"/>
      <w:r>
        <w:rPr/>
        <w:t>Shutdown response</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0" w:type="dxa"/>
          <w:bottom w:w="55" w:type="dxa"/>
          <w:right w:w="55" w:type="dxa"/>
        </w:tblCellMar>
      </w:tblPr>
      <w:tblGrid>
        <w:gridCol w:w="900"/>
        <w:gridCol w:w="1350"/>
        <w:gridCol w:w="988"/>
        <w:gridCol w:w="6736"/>
      </w:tblGrid>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Byte</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Data type</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rPr>
              <w:t>Value</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rPr>
            </w:pPr>
            <w:r>
              <w:rPr>
                <w:b/>
                <w:bCs/>
              </w:rPr>
              <w:t>Description</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w:t>
            </w:r>
            <w:r>
              <w:rPr/>
              <w:t>!’</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Start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0x0C</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Packet length (hex value for length 16)</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3, 4</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Master address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5</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Sequence number (from command)</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6</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uint8_t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0x1F</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Message number</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7, 8</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0x0000</w:t>
            </w:r>
          </w:p>
          <w:p>
            <w:pPr>
              <w:pStyle w:val="TableContents"/>
              <w:rPr/>
            </w:pPr>
            <w:r>
              <w:rPr/>
              <w:t>or</w:t>
            </w:r>
          </w:p>
          <w:p>
            <w:pPr>
              <w:pStyle w:val="TableContents"/>
              <w:rPr/>
            </w:pPr>
            <w:r>
              <w:rPr/>
              <w:t>0x0001</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Result</w:t>
            </w:r>
          </w:p>
          <w:p>
            <w:pPr>
              <w:pStyle w:val="TableContents"/>
              <w:rPr/>
            </w:pPr>
            <w:r>
              <w:rPr/>
              <w:t xml:space="preserve"> </w:t>
            </w:r>
            <w:r>
              <w:rPr/>
              <w:t>- 0x0000 fail</w:t>
            </w:r>
          </w:p>
          <w:p>
            <w:pPr>
              <w:pStyle w:val="TableContents"/>
              <w:rPr/>
            </w:pPr>
            <w:r>
              <w:rPr/>
              <w:t xml:space="preserve"> </w:t>
            </w:r>
            <w:r>
              <w:rPr/>
              <w:t>- 0x0001 success</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9, 10</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TODO:</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CRC</w:t>
            </w:r>
          </w:p>
          <w:p>
            <w:pPr>
              <w:pStyle w:val="TableContents"/>
              <w:rPr/>
            </w:pPr>
            <w:r>
              <w:rPr/>
              <w:t xml:space="preserve"> </w:t>
            </w:r>
            <w:r>
              <w:rPr/>
              <w:t>- cyclic redundancy code over the packet not including this CRC and the end of packet byte</w:t>
            </w:r>
          </w:p>
        </w:tc>
      </w:tr>
      <w:tr>
        <w:trPr/>
        <w:tc>
          <w:tcPr>
            <w:tcW w:w="9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11, 12</w:t>
            </w:r>
          </w:p>
        </w:tc>
        <w:tc>
          <w:tcPr>
            <w:tcW w:w="135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uint16_t</w:t>
            </w:r>
          </w:p>
        </w:tc>
        <w:tc>
          <w:tcPr>
            <w:tcW w:w="98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0x000D</w:t>
            </w:r>
          </w:p>
        </w:tc>
        <w:tc>
          <w:tcPr>
            <w:tcW w:w="673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End of packet byte</w:t>
            </w:r>
          </w:p>
          <w:p>
            <w:pPr>
              <w:pStyle w:val="TableContents"/>
              <w:rPr/>
            </w:pPr>
            <w:r>
              <w:rPr/>
              <w:t xml:space="preserve"> </w:t>
            </w:r>
            <w:r>
              <w:rPr/>
              <w:t>- ‘\r’    (0x000D)</w:t>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suff w:val="nothing"/>
      <w:lvlText w:val=" %1 "/>
      <w:lvlJc w:val="left"/>
      <w:pPr>
        <w:ind w:left="0" w:hanging="0"/>
      </w:pPr>
    </w:lvl>
    <w:lvl w:ilvl="1">
      <w:start w:val="1"/>
      <w:numFmt w:val="decimal"/>
      <w:suff w:val="nothing"/>
      <w:lvlText w:val=" %1.%2 "/>
      <w:lvlJc w:val="left"/>
      <w:pPr>
        <w:ind w:left="0" w:hanging="0"/>
      </w:pPr>
    </w:lvl>
    <w:lvl w:ilvl="2">
      <w:start w:val="1"/>
      <w:numFmt w:val="decimal"/>
      <w:suff w:val="nothing"/>
      <w:lvlText w:val=" %1.%2.%3 "/>
      <w:lvlJc w:val="left"/>
      <w:pPr>
        <w:ind w:left="0" w:hanging="0"/>
      </w:pPr>
    </w:lvl>
    <w:lvl w:ilvl="3">
      <w:start w:val="1"/>
      <w:numFmt w:val="decimal"/>
      <w:suff w:val="nothing"/>
      <w:lvlText w:val=" %1.%2.%3.%4 "/>
      <w:lvlJc w:val="left"/>
      <w:pPr>
        <w:ind w:left="0" w:hanging="0"/>
      </w:pPr>
    </w:lvl>
    <w:lvl w:ilvl="4">
      <w:start w:val="1"/>
      <w:numFmt w:val="decimal"/>
      <w:suff w:val="nothing"/>
      <w:lvlText w:val=" %1.%2.%3.%4.%5 "/>
      <w:lvlJc w:val="left"/>
      <w:pPr>
        <w:ind w:left="0" w:hanging="0"/>
      </w:pPr>
    </w:lvl>
    <w:lvl w:ilvl="5">
      <w:start w:val="1"/>
      <w:numFmt w:val="decimal"/>
      <w:suff w:val="nothing"/>
      <w:lvlText w:val=" %1.%2.%3.%4.%5.%6 "/>
      <w:lvlJc w:val="left"/>
      <w:pPr>
        <w:ind w:left="0" w:hanging="0"/>
      </w:pPr>
    </w:lvl>
    <w:lvl w:ilvl="6">
      <w:start w:val="1"/>
      <w:numFmt w:val="decimal"/>
      <w:suff w:val="nothing"/>
      <w:lvlText w:val=" %1.%2.%3.%4.%5.%6.%7 "/>
      <w:lvlJc w:val="left"/>
      <w:pPr>
        <w:ind w:left="0" w:hanging="0"/>
      </w:pPr>
    </w:lvl>
    <w:lvl w:ilvl="7">
      <w:start w:val="1"/>
      <w:numFmt w:val="decimal"/>
      <w:suff w:val="nothing"/>
      <w:lvlText w:val=" %1.%2.%3.%4.%5.%6.%7.%8 "/>
      <w:lvlJc w:val="left"/>
      <w:pPr>
        <w:ind w:left="0" w:hanging="0"/>
      </w:pPr>
    </w:lvl>
    <w:lvl w:ilvl="8">
      <w:start w:val="1"/>
      <w:numFmt w:val="decimal"/>
      <w:suff w:val="nothing"/>
      <w:lvlText w:val=" %1.%2.%3.%4.%5.%6.%7.%8.%9 "/>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8"/>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227"/>
        </w:tabs>
        <w:ind w:left="227" w:hanging="227"/>
      </w:pPr>
      <w:rPr>
        <w:rFonts w:ascii="Symbol" w:hAnsi="Symbol" w:cs="Symbol" w:hint="default"/>
        <w:rFonts w:cs="Symbol"/>
      </w:rPr>
    </w:lvl>
    <w:lvl w:ilvl="1">
      <w:start w:val="1"/>
      <w:numFmt w:val="bullet"/>
      <w:lvlText w:val=""/>
      <w:lvlJc w:val="left"/>
      <w:pPr>
        <w:tabs>
          <w:tab w:val="num" w:pos="454"/>
        </w:tabs>
        <w:ind w:left="454" w:hanging="227"/>
      </w:pPr>
      <w:rPr>
        <w:rFonts w:ascii="Symbol" w:hAnsi="Symbol" w:cs="Symbol" w:hint="default"/>
        <w:rFonts w:cs="Symbol"/>
      </w:rPr>
    </w:lvl>
    <w:lvl w:ilvl="2">
      <w:start w:val="1"/>
      <w:numFmt w:val="bullet"/>
      <w:lvlText w:val=""/>
      <w:lvlJc w:val="left"/>
      <w:pPr>
        <w:tabs>
          <w:tab w:val="num" w:pos="680"/>
        </w:tabs>
        <w:ind w:left="680" w:hanging="227"/>
      </w:pPr>
      <w:rPr>
        <w:rFonts w:ascii="Symbol" w:hAnsi="Symbol" w:cs="Symbol" w:hint="default"/>
        <w:rFonts w:cs="Symbol"/>
      </w:rPr>
    </w:lvl>
    <w:lvl w:ilvl="3">
      <w:start w:val="1"/>
      <w:numFmt w:val="bullet"/>
      <w:lvlText w:val=""/>
      <w:lvlJc w:val="left"/>
      <w:pPr>
        <w:tabs>
          <w:tab w:val="num" w:pos="907"/>
        </w:tabs>
        <w:ind w:left="907" w:hanging="227"/>
      </w:pPr>
      <w:rPr>
        <w:rFonts w:ascii="Symbol" w:hAnsi="Symbol" w:cs="Symbol" w:hint="default"/>
        <w:rFonts w:cs="Symbol"/>
      </w:rPr>
    </w:lvl>
    <w:lvl w:ilvl="4">
      <w:start w:val="1"/>
      <w:numFmt w:val="bullet"/>
      <w:lvlText w:val=""/>
      <w:lvlJc w:val="left"/>
      <w:pPr>
        <w:tabs>
          <w:tab w:val="num" w:pos="1134"/>
        </w:tabs>
        <w:ind w:left="1134" w:hanging="227"/>
      </w:pPr>
      <w:rPr>
        <w:rFonts w:ascii="Symbol" w:hAnsi="Symbol" w:cs="Symbol" w:hint="default"/>
        <w:rFonts w:cs="Symbol"/>
      </w:rPr>
    </w:lvl>
    <w:lvl w:ilvl="5">
      <w:start w:val="1"/>
      <w:numFmt w:val="bullet"/>
      <w:lvlText w:val=""/>
      <w:lvlJc w:val="left"/>
      <w:pPr>
        <w:tabs>
          <w:tab w:val="num" w:pos="1361"/>
        </w:tabs>
        <w:ind w:left="1361" w:hanging="227"/>
      </w:pPr>
      <w:rPr>
        <w:rFonts w:ascii="Symbol" w:hAnsi="Symbol" w:cs="Symbol" w:hint="default"/>
        <w:rFonts w:cs="Symbol"/>
      </w:rPr>
    </w:lvl>
    <w:lvl w:ilvl="6">
      <w:start w:val="1"/>
      <w:numFmt w:val="bullet"/>
      <w:lvlText w:val=""/>
      <w:lvlJc w:val="left"/>
      <w:pPr>
        <w:tabs>
          <w:tab w:val="num" w:pos="1587"/>
        </w:tabs>
        <w:ind w:left="1587" w:hanging="227"/>
      </w:pPr>
      <w:rPr>
        <w:rFonts w:ascii="Symbol" w:hAnsi="Symbol" w:cs="Symbol" w:hint="default"/>
        <w:rFonts w:cs="Symbol"/>
      </w:rPr>
    </w:lvl>
    <w:lvl w:ilvl="7">
      <w:start w:val="1"/>
      <w:numFmt w:val="bullet"/>
      <w:lvlText w:val=""/>
      <w:lvlJc w:val="left"/>
      <w:pPr>
        <w:tabs>
          <w:tab w:val="num" w:pos="1814"/>
        </w:tabs>
        <w:ind w:left="1814" w:hanging="227"/>
      </w:pPr>
      <w:rPr>
        <w:rFonts w:ascii="Symbol" w:hAnsi="Symbol" w:cs="Symbol" w:hint="default"/>
        <w:rFonts w:cs="Symbol"/>
      </w:rPr>
    </w:lvl>
    <w:lvl w:ilvl="8">
      <w:start w:val="1"/>
      <w:numFmt w:val="bullet"/>
      <w:lvlText w:val=""/>
      <w:lvlJc w:val="left"/>
      <w:pPr>
        <w:tabs>
          <w:tab w:val="num" w:pos="2041"/>
        </w:tabs>
        <w:ind w:left="2041" w:hanging="227"/>
      </w:pPr>
      <w:rPr>
        <w:rFonts w:ascii="Symbol" w:hAnsi="Symbol" w:cs="Symbol" w:hint="default"/>
        <w:rFonts w:cs="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w:cs="Lohit Devanagari"/>
      <w:color w:val="auto"/>
      <w:kern w:val="2"/>
      <w:sz w:val="24"/>
      <w:szCs w:val="24"/>
      <w:lang w:val="en-US"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cs="Symbol"/>
    </w:rPr>
  </w:style>
  <w:style w:type="character" w:styleId="ListLabel149">
    <w:name w:val="ListLabel 149"/>
    <w:qFormat/>
    <w:rPr>
      <w:rFonts w:cs="Symbol"/>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ascii="Liberation Sans" w:hAnsi="Liberation Sans" w:cs="OpenSymbol"/>
      <w:b/>
      <w:sz w:val="28"/>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ascii="Liberation Sans" w:hAnsi="Liberation Sans" w:cs="OpenSymbol"/>
      <w:b/>
      <w:sz w:val="28"/>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ascii="Liberation Sans" w:hAnsi="Liberation Sans" w:cs="OpenSymbol"/>
      <w:b/>
      <w:sz w:val="28"/>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ascii="Liberation Sans" w:hAnsi="Liberation Sans" w:cs="OpenSymbol"/>
      <w:b/>
      <w:sz w:val="28"/>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TOAHeading">
    <w:name w:val="TOA Heading"/>
    <w:basedOn w:val="Heading"/>
    <w:qFormat/>
    <w:pPr/>
    <w:rPr>
      <w:b/>
      <w:bCs/>
      <w:sz w:val="32"/>
      <w:szCs w:val="32"/>
    </w:rPr>
  </w:style>
  <w:style w:type="paragraph" w:styleId="Contents3">
    <w:name w:val="TOC 3"/>
    <w:basedOn w:val="Index"/>
    <w:pPr>
      <w:tabs>
        <w:tab w:val="right" w:pos="9406" w:leader="dot"/>
      </w:tabs>
      <w:ind w:left="566" w:hanging="0"/>
    </w:pPr>
    <w:rPr/>
  </w:style>
  <w:style w:type="numbering" w:styleId="List1">
    <w:name w:val="List 1"/>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LibreOffice/6.0.7.3$Linux_X86_64 LibreOffice_project/00m0$Build-3</Application>
  <Pages>16</Pages>
  <Words>3753</Words>
  <Characters>17466</Characters>
  <CharactersWithSpaces>20160</CharactersWithSpaces>
  <Paragraphs>1394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2019-09-17T22:06:33Z</dcterms:created>
  <dc:creator/>
  <dc:description/>
  <dc:language>en-US</dc:language>
  <cp:lastModifiedBy/>
  <dcterms:modified xsi:type="dcterms:W3CDTF">2019-10-29T14:11:26Z</dcterms:modified>
  <cp:revision>93</cp:revision>
  <dc:subject/>
  <dc:title/>
</cp:coreProperties>
</file>