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Agents Explained</w:t>
      </w:r>
    </w:p>
    <w:p>
      <w:pPr>
        <w:pStyle w:val="Subtitle"/>
      </w:pPr>
      <w:r>
        <w:t>Claims Agentic AI MVP</w:t>
      </w:r>
    </w:p>
    <w:p>
      <w:r>
        <w:rPr>
          <w:color w:val="5B677A"/>
          <w:sz w:val="18"/>
        </w:rPr>
        <w:t>Updated May 26, 2026. Covers the AI-assisted Handler Recommendation Agent implementation.</w:t>
      </w:r>
    </w:p>
    <w:p>
      <w:pPr>
        <w:pStyle w:val="Heading1"/>
      </w:pPr>
      <w:r>
        <w:t>Executive Summary</w:t>
      </w:r>
    </w:p>
    <w:p>
      <w:r>
        <w:t>This system is a claims-handler support workflow, not an autonomous claim settlement engine. It combines LLM-based interpretation, retrieval-augmented policy analysis, deterministic evidence checks, deterministic risk scoring, AI-assisted recommendation drafting, and final guardrails.</w:t>
      </w:r>
    </w:p>
    <w:p>
      <w:r>
        <w:t>The key design principle is controlled autonomy: AI can classify, summarize, reason over supplied context, and draft handler-facing guidance, while deterministic workflow state still controls routing, escalation, human approval, and final safety checks.</w:t>
      </w:r>
    </w:p>
    <w:p>
      <w:pPr>
        <w:pStyle w:val="Heading1"/>
      </w:pPr>
      <w:r>
        <w:t>How Each Agent Uses AI</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vAlign w:val="center"/>
          </w:tcPr>
          <w:p>
            <w:r>
              <w:rPr>
                <w:b/>
                <w:sz w:val="18"/>
              </w:rPr>
              <w:t>Agent</w:t>
            </w:r>
          </w:p>
        </w:tc>
        <w:tc>
          <w:tcPr>
            <w:tcW w:type="dxa" w:w="3216"/>
            <w:vAlign w:val="center"/>
          </w:tcPr>
          <w:p>
            <w:r>
              <w:rPr>
                <w:b/>
                <w:sz w:val="18"/>
              </w:rPr>
              <w:t>AI Usage</w:t>
            </w:r>
          </w:p>
        </w:tc>
        <w:tc>
          <w:tcPr>
            <w:tcW w:type="dxa" w:w="3216"/>
            <w:vAlign w:val="center"/>
          </w:tcPr>
          <w:p>
            <w:r>
              <w:rPr>
                <w:b/>
                <w:sz w:val="18"/>
              </w:rPr>
              <w:t>Control Boundary</w:t>
            </w:r>
          </w:p>
        </w:tc>
      </w:tr>
      <w:tr>
        <w:tc>
          <w:tcPr>
            <w:tcW w:type="dxa" w:w="3216"/>
            <w:vAlign w:val="center"/>
          </w:tcPr>
          <w:p>
            <w:r>
              <w:rPr>
                <w:sz w:val="17"/>
              </w:rPr>
              <w:t>Claims Triage Agent</w:t>
            </w:r>
          </w:p>
        </w:tc>
        <w:tc>
          <w:tcPr>
            <w:tcW w:type="dxa" w:w="3216"/>
            <w:vAlign w:val="center"/>
          </w:tcPr>
          <w:p>
            <w:r>
              <w:rPr>
                <w:sz w:val="17"/>
              </w:rPr>
              <w:t>Calls the LLM to classify FNOL, extract incident facts, urgency and complexity.</w:t>
            </w:r>
          </w:p>
        </w:tc>
        <w:tc>
          <w:tcPr>
            <w:tcW w:type="dxa" w:w="3216"/>
            <w:vAlign w:val="center"/>
          </w:tcPr>
          <w:p>
            <w:r>
              <w:rPr>
                <w:sz w:val="17"/>
              </w:rPr>
              <w:t>Low confidence triggers human approval. The prompt forbids final claim decisions.</w:t>
            </w:r>
          </w:p>
        </w:tc>
      </w:tr>
      <w:tr>
        <w:tc>
          <w:tcPr>
            <w:tcW w:type="dxa" w:w="3216"/>
            <w:vAlign w:val="center"/>
          </w:tcPr>
          <w:p>
            <w:r>
              <w:rPr>
                <w:sz w:val="17"/>
              </w:rPr>
              <w:t>Policy Coverage Agent</w:t>
            </w:r>
          </w:p>
        </w:tc>
        <w:tc>
          <w:tcPr>
            <w:tcW w:type="dxa" w:w="3216"/>
            <w:vAlign w:val="center"/>
          </w:tcPr>
          <w:p>
            <w:r>
              <w:rPr>
                <w:sz w:val="17"/>
              </w:rPr>
              <w:t>Uses Qdrant retrieval, then calls the LLM to summarize coverage from retrieved clauses only.</w:t>
            </w:r>
          </w:p>
        </w:tc>
        <w:tc>
          <w:tcPr>
            <w:tcW w:type="dxa" w:w="3216"/>
            <w:vAlign w:val="center"/>
          </w:tcPr>
          <w:p>
            <w:r>
              <w:rPr>
                <w:sz w:val="17"/>
              </w:rPr>
              <w:t>No retrieved clauses or low confidence requires human review.</w:t>
            </w:r>
          </w:p>
        </w:tc>
      </w:tr>
      <w:tr>
        <w:tc>
          <w:tcPr>
            <w:tcW w:type="dxa" w:w="3216"/>
            <w:vAlign w:val="center"/>
          </w:tcPr>
          <w:p>
            <w:r>
              <w:rPr>
                <w:sz w:val="17"/>
              </w:rPr>
              <w:t>Evidence Review Agent</w:t>
            </w:r>
          </w:p>
        </w:tc>
        <w:tc>
          <w:tcPr>
            <w:tcW w:type="dxa" w:w="3216"/>
            <w:vAlign w:val="center"/>
          </w:tcPr>
          <w:p>
            <w:r>
              <w:rPr>
                <w:sz w:val="17"/>
              </w:rPr>
              <w:t>No generative AI in the current implementation.</w:t>
            </w:r>
          </w:p>
        </w:tc>
        <w:tc>
          <w:tcPr>
            <w:tcW w:type="dxa" w:w="3216"/>
            <w:vAlign w:val="center"/>
          </w:tcPr>
          <w:p>
            <w:r>
              <w:rPr>
                <w:sz w:val="17"/>
              </w:rPr>
              <w:t>Deterministically checks required document types and date conflicts.</w:t>
            </w:r>
          </w:p>
        </w:tc>
      </w:tr>
      <w:tr>
        <w:tc>
          <w:tcPr>
            <w:tcW w:type="dxa" w:w="3216"/>
            <w:vAlign w:val="center"/>
          </w:tcPr>
          <w:p>
            <w:r>
              <w:rPr>
                <w:sz w:val="17"/>
              </w:rPr>
              <w:t>Risk Screening Agent</w:t>
            </w:r>
          </w:p>
        </w:tc>
        <w:tc>
          <w:tcPr>
            <w:tcW w:type="dxa" w:w="3216"/>
            <w:vAlign w:val="center"/>
          </w:tcPr>
          <w:p>
            <w:r>
              <w:rPr>
                <w:sz w:val="17"/>
              </w:rPr>
              <w:t>No generative AI in the current implementation.</w:t>
            </w:r>
          </w:p>
        </w:tc>
        <w:tc>
          <w:tcPr>
            <w:tcW w:type="dxa" w:w="3216"/>
            <w:vAlign w:val="center"/>
          </w:tcPr>
          <w:p>
            <w:r>
              <w:rPr>
                <w:sz w:val="17"/>
              </w:rPr>
              <w:t>Deterministic rules produce risk flags, risk score, risk level and fraud referral.</w:t>
            </w:r>
          </w:p>
        </w:tc>
      </w:tr>
      <w:tr>
        <w:tc>
          <w:tcPr>
            <w:tcW w:type="dxa" w:w="3216"/>
            <w:vAlign w:val="center"/>
          </w:tcPr>
          <w:p>
            <w:r>
              <w:rPr>
                <w:sz w:val="17"/>
              </w:rPr>
              <w:t>Handler Recommendation Agent</w:t>
            </w:r>
          </w:p>
        </w:tc>
        <w:tc>
          <w:tcPr>
            <w:tcW w:type="dxa" w:w="3216"/>
            <w:vAlign w:val="center"/>
          </w:tcPr>
          <w:p>
            <w:r>
              <w:rPr>
                <w:sz w:val="17"/>
              </w:rPr>
              <w:t>Uses the LLM to draft handler-facing guidance after deterministic route selection.</w:t>
            </w:r>
          </w:p>
        </w:tc>
        <w:tc>
          <w:tcPr>
            <w:tcW w:type="dxa" w:w="3216"/>
            <w:vAlign w:val="center"/>
          </w:tcPr>
          <w:p>
            <w:r>
              <w:rPr>
                <w:sz w:val="17"/>
              </w:rPr>
              <w:t>The AI draft cannot override fraud referral, missing evidence, missing policy clauses or guardrail outcomes.</w:t>
            </w:r>
          </w:p>
        </w:tc>
      </w:tr>
      <w:tr>
        <w:tc>
          <w:tcPr>
            <w:tcW w:type="dxa" w:w="3216"/>
            <w:vAlign w:val="center"/>
          </w:tcPr>
          <w:p>
            <w:r>
              <w:rPr>
                <w:sz w:val="17"/>
              </w:rPr>
              <w:t>Output Guardrails</w:t>
            </w:r>
          </w:p>
        </w:tc>
        <w:tc>
          <w:tcPr>
            <w:tcW w:type="dxa" w:w="3216"/>
            <w:vAlign w:val="center"/>
          </w:tcPr>
          <w:p>
            <w:r>
              <w:rPr>
                <w:sz w:val="17"/>
              </w:rPr>
              <w:t>No generative AI in the current implementation.</w:t>
            </w:r>
          </w:p>
        </w:tc>
        <w:tc>
          <w:tcPr>
            <w:tcW w:type="dxa" w:w="3216"/>
            <w:vAlign w:val="center"/>
          </w:tcPr>
          <w:p>
            <w:r>
              <w:rPr>
                <w:sz w:val="17"/>
              </w:rPr>
              <w:t>Blocks final-decision language and enforces human review for missing citations or elevated risk.</w:t>
            </w:r>
          </w:p>
        </w:tc>
      </w:tr>
    </w:tbl>
    <w:p/>
    <w:p>
      <w:pPr>
        <w:pStyle w:val="Heading1"/>
      </w:pPr>
      <w:r>
        <w:t>Handler Recommendation Agent Update</w:t>
      </w:r>
    </w:p>
    <w:p>
      <w:r>
        <w:t>The Handler Recommendation Agent now follows a two-step pattern. First, deterministic logic selects the allowed route. Second, the LLM drafts a natural handler-facing explanation inside that allowed route.</w:t>
      </w:r>
    </w:p>
    <w:p>
      <w:pPr>
        <w:pStyle w:val="Heading2"/>
      </w:pPr>
      <w:r>
        <w:t>Deterministic Route Selection</w:t>
      </w:r>
    </w:p>
    <w:p>
      <w:pPr>
        <w:pStyle w:val="ListBullet"/>
      </w:pPr>
      <w:r>
        <w:t>If fraud_referral_required is true, the route is fraud or specialist review.</w:t>
      </w:r>
    </w:p>
    <w:p>
      <w:pPr>
        <w:pStyle w:val="ListBullet"/>
      </w:pPr>
      <w:r>
        <w:t>If evidence conflicts exist, the route is clarification before progression.</w:t>
      </w:r>
    </w:p>
    <w:p>
      <w:pPr>
        <w:pStyle w:val="ListBullet"/>
      </w:pPr>
      <w:r>
        <w:t>If required evidence is missing, the route is missing evidence request.</w:t>
      </w:r>
    </w:p>
    <w:p>
      <w:pPr>
        <w:pStyle w:val="ListBullet"/>
      </w:pPr>
      <w:r>
        <w:t>If coverage context and policy clauses exist, the route is handler review using cited clauses.</w:t>
      </w:r>
    </w:p>
    <w:p>
      <w:pPr>
        <w:pStyle w:val="ListBullet"/>
      </w:pPr>
      <w:r>
        <w:t>If none of the above applies, the route is manual review.</w:t>
      </w:r>
    </w:p>
    <w:p>
      <w:pPr>
        <w:pStyle w:val="Heading2"/>
      </w:pPr>
      <w:r>
        <w:t>AI Drafting Responsibilities</w:t>
      </w:r>
    </w:p>
    <w:p>
      <w:pPr>
        <w:pStyle w:val="ListBullet"/>
      </w:pPr>
      <w:r>
        <w:t>Explain what the handler should do next.</w:t>
      </w:r>
    </w:p>
    <w:p>
      <w:pPr>
        <w:pStyle w:val="ListBullet"/>
      </w:pPr>
      <w:r>
        <w:t>Explain why that action is recommended.</w:t>
      </w:r>
    </w:p>
    <w:p>
      <w:pPr>
        <w:pStyle w:val="ListBullet"/>
      </w:pPr>
      <w:r>
        <w:t>Summarize evidence that supports or weakens the claim.</w:t>
      </w:r>
    </w:p>
    <w:p>
      <w:pPr>
        <w:pStyle w:val="ListBullet"/>
      </w:pPr>
      <w:r>
        <w:t>Identify relevant policy clauses from supplied citations.</w:t>
      </w:r>
    </w:p>
    <w:p>
      <w:pPr>
        <w:pStyle w:val="ListBullet"/>
      </w:pPr>
      <w:r>
        <w:t>Draft customer questions and missing-document requests.</w:t>
      </w:r>
    </w:p>
    <w:p>
      <w:pPr>
        <w:pStyle w:val="ListBullet"/>
      </w:pPr>
      <w:r>
        <w:t>Explain whether specialist review is needed and why.</w:t>
      </w:r>
    </w:p>
    <w:p>
      <w:pPr>
        <w:pStyle w:val="Heading2"/>
      </w:pPr>
      <w:r>
        <w:t>Safety Constraints</w:t>
      </w:r>
    </w:p>
    <w:p>
      <w:pPr>
        <w:pStyle w:val="ListBullet"/>
      </w:pPr>
      <w:r>
        <w:t>The AI cannot recommend normal progression when specialist review is required.</w:t>
      </w:r>
    </w:p>
    <w:p>
      <w:pPr>
        <w:pStyle w:val="ListBullet"/>
      </w:pPr>
      <w:r>
        <w:t>The AI cannot say evidence is sufficient when evidence_status is incomplete.</w:t>
      </w:r>
    </w:p>
    <w:p>
      <w:pPr>
        <w:pStyle w:val="ListBullet"/>
      </w:pPr>
      <w:r>
        <w:t>The AI cannot cite policy confidence when no policy citations were retrieved.</w:t>
      </w:r>
    </w:p>
    <w:p>
      <w:pPr>
        <w:pStyle w:val="ListBullet"/>
      </w:pPr>
      <w:r>
        <w:t>If the AI draft contains final decision language, the agent replaces it with a deterministic fallback.</w:t>
      </w:r>
    </w:p>
    <w:p>
      <w:pPr>
        <w:pStyle w:val="ListBullet"/>
      </w:pPr>
      <w:r>
        <w:t>Output guardrails still run after the recommendation agent and can require human approval.</w:t>
      </w:r>
    </w:p>
    <w:p>
      <w:pPr>
        <w:pStyle w:val="Heading2"/>
      </w:pPr>
      <w:r>
        <w:t>New Recommendation Output Fields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vAlign w:val="center"/>
          </w:tcPr>
          <w:p>
            <w:r>
              <w:rPr>
                <w:b/>
                <w:sz w:val="18"/>
              </w:rPr>
              <w:t>Field</w:t>
            </w:r>
          </w:p>
        </w:tc>
        <w:tc>
          <w:tcPr>
            <w:tcW w:type="dxa" w:w="4824"/>
            <w:vAlign w:val="center"/>
          </w:tcPr>
          <w:p>
            <w:r>
              <w:rPr>
                <w:b/>
                <w:sz w:val="18"/>
              </w:rPr>
              <w:t>Purpose</w:t>
            </w:r>
          </w:p>
        </w:tc>
      </w:tr>
      <w:tr>
        <w:tc>
          <w:tcPr>
            <w:tcW w:type="dxa" w:w="4824"/>
            <w:vAlign w:val="center"/>
          </w:tcPr>
          <w:p>
            <w:r>
              <w:rPr>
                <w:sz w:val="17"/>
              </w:rPr>
              <w:t>deterministic_route</w:t>
            </w:r>
          </w:p>
        </w:tc>
        <w:tc>
          <w:tcPr>
            <w:tcW w:type="dxa" w:w="4824"/>
            <w:vAlign w:val="center"/>
          </w:tcPr>
          <w:p>
            <w:r>
              <w:rPr>
                <w:sz w:val="17"/>
              </w:rPr>
              <w:t>The route selected by code before AI drafting.</w:t>
            </w:r>
          </w:p>
        </w:tc>
      </w:tr>
      <w:tr>
        <w:tc>
          <w:tcPr>
            <w:tcW w:type="dxa" w:w="4824"/>
            <w:vAlign w:val="center"/>
          </w:tcPr>
          <w:p>
            <w:r>
              <w:rPr>
                <w:sz w:val="17"/>
              </w:rPr>
              <w:t>recommended_action</w:t>
            </w:r>
          </w:p>
        </w:tc>
        <w:tc>
          <w:tcPr>
            <w:tcW w:type="dxa" w:w="4824"/>
            <w:vAlign w:val="center"/>
          </w:tcPr>
          <w:p>
            <w:r>
              <w:rPr>
                <w:sz w:val="17"/>
              </w:rPr>
              <w:t>The controlled next action that the AI draft cannot override.</w:t>
            </w:r>
          </w:p>
        </w:tc>
      </w:tr>
      <w:tr>
        <w:tc>
          <w:tcPr>
            <w:tcW w:type="dxa" w:w="4824"/>
            <w:vAlign w:val="center"/>
          </w:tcPr>
          <w:p>
            <w:r>
              <w:rPr>
                <w:sz w:val="17"/>
              </w:rPr>
              <w:t>recommendation_summary</w:t>
            </w:r>
          </w:p>
        </w:tc>
        <w:tc>
          <w:tcPr>
            <w:tcW w:type="dxa" w:w="4824"/>
            <w:vAlign w:val="center"/>
          </w:tcPr>
          <w:p>
            <w:r>
              <w:rPr>
                <w:sz w:val="17"/>
              </w:rPr>
              <w:t>Natural-language handler summary.</w:t>
            </w:r>
          </w:p>
        </w:tc>
      </w:tr>
      <w:tr>
        <w:tc>
          <w:tcPr>
            <w:tcW w:type="dxa" w:w="4824"/>
            <w:vAlign w:val="center"/>
          </w:tcPr>
          <w:p>
            <w:r>
              <w:rPr>
                <w:sz w:val="17"/>
              </w:rPr>
              <w:t>rationale</w:t>
            </w:r>
          </w:p>
        </w:tc>
        <w:tc>
          <w:tcPr>
            <w:tcW w:type="dxa" w:w="4824"/>
            <w:vAlign w:val="center"/>
          </w:tcPr>
          <w:p>
            <w:r>
              <w:rPr>
                <w:sz w:val="17"/>
              </w:rPr>
              <w:t>Reasoning for the recommendation based on workflow state.</w:t>
            </w:r>
          </w:p>
        </w:tc>
      </w:tr>
      <w:tr>
        <w:tc>
          <w:tcPr>
            <w:tcW w:type="dxa" w:w="4824"/>
            <w:vAlign w:val="center"/>
          </w:tcPr>
          <w:p>
            <w:r>
              <w:rPr>
                <w:sz w:val="17"/>
              </w:rPr>
              <w:t>supporting_evidence</w:t>
            </w:r>
          </w:p>
        </w:tc>
        <w:tc>
          <w:tcPr>
            <w:tcW w:type="dxa" w:w="4824"/>
            <w:vAlign w:val="center"/>
          </w:tcPr>
          <w:p>
            <w:r>
              <w:rPr>
                <w:sz w:val="17"/>
              </w:rPr>
              <w:t>Readable list of evidence supporting the next action.</w:t>
            </w:r>
          </w:p>
        </w:tc>
      </w:tr>
      <w:tr>
        <w:tc>
          <w:tcPr>
            <w:tcW w:type="dxa" w:w="4824"/>
            <w:vAlign w:val="center"/>
          </w:tcPr>
          <w:p>
            <w:r>
              <w:rPr>
                <w:sz w:val="17"/>
              </w:rPr>
              <w:t>weakening_evidence</w:t>
            </w:r>
          </w:p>
        </w:tc>
        <w:tc>
          <w:tcPr>
            <w:tcW w:type="dxa" w:w="4824"/>
            <w:vAlign w:val="center"/>
          </w:tcPr>
          <w:p>
            <w:r>
              <w:rPr>
                <w:sz w:val="17"/>
              </w:rPr>
              <w:t>Readable list of gaps, conflicts or risk factors.</w:t>
            </w:r>
          </w:p>
        </w:tc>
      </w:tr>
      <w:tr>
        <w:tc>
          <w:tcPr>
            <w:tcW w:type="dxa" w:w="4824"/>
            <w:vAlign w:val="center"/>
          </w:tcPr>
          <w:p>
            <w:r>
              <w:rPr>
                <w:sz w:val="17"/>
              </w:rPr>
              <w:t>relevant_policy_clauses</w:t>
            </w:r>
          </w:p>
        </w:tc>
        <w:tc>
          <w:tcPr>
            <w:tcW w:type="dxa" w:w="4824"/>
            <w:vAlign w:val="center"/>
          </w:tcPr>
          <w:p>
            <w:r>
              <w:rPr>
                <w:sz w:val="17"/>
              </w:rPr>
              <w:t>Readable list derived from retrieved policy citations.</w:t>
            </w:r>
          </w:p>
        </w:tc>
      </w:tr>
      <w:tr>
        <w:tc>
          <w:tcPr>
            <w:tcW w:type="dxa" w:w="4824"/>
            <w:vAlign w:val="center"/>
          </w:tcPr>
          <w:p>
            <w:r>
              <w:rPr>
                <w:sz w:val="17"/>
              </w:rPr>
              <w:t>customer_questions</w:t>
            </w:r>
          </w:p>
        </w:tc>
        <w:tc>
          <w:tcPr>
            <w:tcW w:type="dxa" w:w="4824"/>
            <w:vAlign w:val="center"/>
          </w:tcPr>
          <w:p>
            <w:r>
              <w:rPr>
                <w:sz w:val="17"/>
              </w:rPr>
              <w:t>Questions the handler can ask the customer or third party.</w:t>
            </w:r>
          </w:p>
        </w:tc>
      </w:tr>
      <w:tr>
        <w:tc>
          <w:tcPr>
            <w:tcW w:type="dxa" w:w="4824"/>
            <w:vAlign w:val="center"/>
          </w:tcPr>
          <w:p>
            <w:r>
              <w:rPr>
                <w:sz w:val="17"/>
              </w:rPr>
              <w:t>missing_documents_to_request</w:t>
            </w:r>
          </w:p>
        </w:tc>
        <w:tc>
          <w:tcPr>
            <w:tcW w:type="dxa" w:w="4824"/>
            <w:vAlign w:val="center"/>
          </w:tcPr>
          <w:p>
            <w:r>
              <w:rPr>
                <w:sz w:val="17"/>
              </w:rPr>
              <w:t>Documents still needed when evidence is incomplete.</w:t>
            </w:r>
          </w:p>
        </w:tc>
      </w:tr>
      <w:tr>
        <w:tc>
          <w:tcPr>
            <w:tcW w:type="dxa" w:w="4824"/>
            <w:vAlign w:val="center"/>
          </w:tcPr>
          <w:p>
            <w:r>
              <w:rPr>
                <w:sz w:val="17"/>
              </w:rPr>
              <w:t>specialist_review_needed</w:t>
            </w:r>
          </w:p>
        </w:tc>
        <w:tc>
          <w:tcPr>
            <w:tcW w:type="dxa" w:w="4824"/>
            <w:vAlign w:val="center"/>
          </w:tcPr>
          <w:p>
            <w:r>
              <w:rPr>
                <w:sz w:val="17"/>
              </w:rPr>
              <w:t>Boolean flag for specialist or fraud review.</w:t>
            </w:r>
          </w:p>
        </w:tc>
      </w:tr>
      <w:tr>
        <w:tc>
          <w:tcPr>
            <w:tcW w:type="dxa" w:w="4824"/>
            <w:vAlign w:val="center"/>
          </w:tcPr>
          <w:p>
            <w:r>
              <w:rPr>
                <w:sz w:val="17"/>
              </w:rPr>
              <w:t>recommendation_confidence</w:t>
            </w:r>
          </w:p>
        </w:tc>
        <w:tc>
          <w:tcPr>
            <w:tcW w:type="dxa" w:w="4824"/>
            <w:vAlign w:val="center"/>
          </w:tcPr>
          <w:p>
            <w:r>
              <w:rPr>
                <w:sz w:val="17"/>
              </w:rPr>
              <w:t>Numeric confidence normalized from the AI draft.</w:t>
            </w:r>
          </w:p>
        </w:tc>
      </w:tr>
      <w:tr>
        <w:tc>
          <w:tcPr>
            <w:tcW w:type="dxa" w:w="4824"/>
            <w:vAlign w:val="center"/>
          </w:tcPr>
          <w:p>
            <w:r>
              <w:rPr>
                <w:sz w:val="17"/>
              </w:rPr>
              <w:t>ai_drafted</w:t>
            </w:r>
          </w:p>
        </w:tc>
        <w:tc>
          <w:tcPr>
            <w:tcW w:type="dxa" w:w="4824"/>
            <w:vAlign w:val="center"/>
          </w:tcPr>
          <w:p>
            <w:r>
              <w:rPr>
                <w:sz w:val="17"/>
              </w:rPr>
              <w:t>Whether the LLM draft was used or deterministic fallback text was returned.</w:t>
            </w:r>
          </w:p>
        </w:tc>
      </w:tr>
    </w:tbl>
    <w:p/>
    <w:p>
      <w:pPr>
        <w:pStyle w:val="Heading2"/>
      </w:pPr>
      <w:r>
        <w:t>Output Normalization</w:t>
      </w:r>
    </w:p>
    <w:p>
      <w:r>
        <w:t>The recommendation agent normalizes model-returned list values to plain human-readable strings. This prevents nested objects from appearing in the API or UI as raw dictionaries or JSON. The browser UI also includes a defensive formatter so unexpected structured values still render as readable text.</w:t>
      </w:r>
    </w:p>
    <w:p>
      <w:pPr>
        <w:pStyle w:val="Heading1"/>
      </w:pPr>
      <w:r>
        <w:t>End-to-End Orchestration</w:t>
      </w:r>
    </w:p>
    <w:p>
      <w:r>
        <w:t>FastAPI loads a claim and calls run_claim_workflow. The workflow uses LangGraph when available, or a deterministic fallback runner with the same node order: triage, policy coverage, evidence review, risk screening, recommendation and guardrails.</w:t>
      </w:r>
    </w:p>
    <w:p>
      <w:r>
        <w:t>The shared ClaimWorkflowState acts as workflow memory. Triage adds incident structure, coverage adds policy context, evidence review adds document gaps and conflicts, risk screening adds flags and referral status, recommendation adds the controlled action plus AI-drafted handler guidance, and guardrails finalize approval status.</w:t>
      </w:r>
    </w:p>
    <w:p>
      <w:pPr>
        <w:pStyle w:val="Heading1"/>
      </w:pPr>
      <w:r>
        <w:t>Human Approval Logic</w:t>
      </w:r>
    </w:p>
    <w:p>
      <w:pPr>
        <w:pStyle w:val="ListBullet"/>
      </w:pPr>
      <w:r>
        <w:t>Low LLM confidence in triage or coverage requires human approval.</w:t>
      </w:r>
    </w:p>
    <w:p>
      <w:pPr>
        <w:pStyle w:val="ListBullet"/>
      </w:pPr>
      <w:r>
        <w:t>Missing policy clauses require human approval.</w:t>
      </w:r>
    </w:p>
    <w:p>
      <w:pPr>
        <w:pStyle w:val="ListBullet"/>
      </w:pPr>
      <w:r>
        <w:t>Missing evidence or document conflicts require human approval.</w:t>
      </w:r>
    </w:p>
    <w:p>
      <w:pPr>
        <w:pStyle w:val="ListBullet"/>
      </w:pPr>
      <w:r>
        <w:t>High risk, duplicate invoice reference, or specialist referral requires human approval.</w:t>
      </w:r>
    </w:p>
    <w:p>
      <w:pPr>
        <w:pStyle w:val="ListBullet"/>
      </w:pPr>
      <w:r>
        <w:t>Medium or high risk is enforced again by output guardrails.</w:t>
      </w:r>
    </w:p>
    <w:p>
      <w:pPr>
        <w:pStyle w:val="ListBullet"/>
      </w:pPr>
      <w:r>
        <w:t>Prohibited final-decision language is blocked by guardrails.</w:t>
      </w:r>
    </w:p>
    <w:p>
      <w:pPr>
        <w:pStyle w:val="Heading1"/>
      </w:pPr>
      <w:r>
        <w:t>Design Boundary</w:t>
      </w:r>
    </w:p>
    <w:p>
      <w:r>
        <w:t>The workflow remains advisory. It can classify, retrieve, summarize, screen, flag and draft recommendations, but it does not make final coverage, settlement, fraud or policy-validity decisions.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B67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