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864"/>
          <w:sz w:val="28"/>
        </w:rPr>
        <w:t>TANZANIA COMMERCIAL BANK</w:t>
      </w:r>
    </w:p>
    <w:p/>
    <w:p/>
    <w:p>
      <w:pPr>
        <w:jc w:val="center"/>
      </w:pPr>
      <w:r>
        <w:rPr>
          <w:b/>
          <w:color w:val="2E75B6"/>
          <w:sz w:val="52"/>
        </w:rPr>
        <w:t>TECHNICAL ARCHITECTURE</w:t>
      </w:r>
    </w:p>
    <w:p>
      <w:pPr>
        <w:jc w:val="center"/>
      </w:pPr>
      <w:r>
        <w:rPr>
          <w:color w:val="1F3864"/>
          <w:sz w:val="30"/>
        </w:rPr>
        <w:t>Government Securities Digital Platform (GovSec Platform)</w:t>
      </w:r>
    </w:p>
    <w:p>
      <w:pPr>
        <w:jc w:val="center"/>
      </w:pPr>
      <w:r>
        <w:rPr>
          <w:i/>
          <w:sz w:val="22"/>
        </w:rPr>
        <w:t>Onboarding • Bidding • Allocation • Settlement for T-Bills and T-Bonds</w:t>
      </w:r>
    </w:p>
    <w:p/>
    <w:p/>
    <w:p/>
    <w:p/>
    <w:p/>
    <w:p/>
    <w:p/>
    <w:tbl>
      <w:tblPr>
        <w:tblStyle w:val="TableGrid"/>
        <w:jc w:val="center"/>
        <w:tblLook w:firstColumn="1" w:firstRow="1" w:lastColumn="0" w:lastRow="0" w:noHBand="0" w:noVBand="1" w:val="04A0"/>
        <w:tblCellMar>
          <w:top w:w="60" w:type="dxa"/>
          <w:left w:w="90" w:type="dxa"/>
          <w:bottom w:w="60" w:type="dxa"/>
          <w:right w:w="90" w:type="dxa"/>
        </w:tblCellMar>
        <w:tblW w:w="7938" w:type="dxa"/>
        <w:tblLayout w:type="fixed"/>
      </w:tblPr>
      <w:tblGrid>
        <w:gridCol w:w="2551"/>
        <w:gridCol w:w="5386"/>
      </w:tblGrid>
      <w:tr>
        <w:tc>
          <w:tcPr>
            <w:tcW w:type="dxa" w:w="2551"/>
            <w:vAlign w:val="center"/>
            <w:shd w:val="clear" w:color="auto" w:fill="DEEAF6"/>
          </w:tcPr>
          <w:p>
            <w:pPr>
              <w:spacing w:after="0"/>
            </w:pPr>
            <w:r/>
            <w:r>
              <w:rPr>
                <w:b/>
                <w:sz w:val="19"/>
              </w:rPr>
              <w:t>Document type</w:t>
            </w:r>
          </w:p>
        </w:tc>
        <w:tc>
          <w:tcPr>
            <w:tcW w:type="dxa" w:w="5386"/>
            <w:vAlign w:val="center"/>
          </w:tcPr>
          <w:p>
            <w:pPr>
              <w:spacing w:after="0"/>
            </w:pPr>
            <w:r/>
            <w:r>
              <w:rPr>
                <w:b w:val="0"/>
                <w:sz w:val="19"/>
              </w:rPr>
              <w:t>Technical Architecture Document (TAD)</w:t>
            </w:r>
          </w:p>
        </w:tc>
      </w:tr>
      <w:tr>
        <w:tc>
          <w:tcPr>
            <w:tcW w:type="dxa" w:w="2551"/>
            <w:vAlign w:val="center"/>
            <w:shd w:val="clear" w:color="auto" w:fill="DEEAF6"/>
          </w:tcPr>
          <w:p>
            <w:pPr>
              <w:spacing w:after="0"/>
            </w:pPr>
            <w:r/>
            <w:r>
              <w:rPr>
                <w:b/>
                <w:sz w:val="19"/>
              </w:rPr>
              <w:t>System</w:t>
            </w:r>
          </w:p>
        </w:tc>
        <w:tc>
          <w:tcPr>
            <w:tcW w:type="dxa" w:w="5386"/>
            <w:vAlign w:val="center"/>
          </w:tcPr>
          <w:p>
            <w:pPr>
              <w:spacing w:after="0"/>
            </w:pPr>
            <w:r/>
            <w:r>
              <w:rPr>
                <w:b w:val="0"/>
                <w:sz w:val="19"/>
              </w:rPr>
              <w:t>GovSec Platform</w:t>
            </w:r>
          </w:p>
        </w:tc>
      </w:tr>
      <w:tr>
        <w:tc>
          <w:tcPr>
            <w:tcW w:type="dxa" w:w="2551"/>
            <w:vAlign w:val="center"/>
            <w:shd w:val="clear" w:color="auto" w:fill="DEEAF6"/>
          </w:tcPr>
          <w:p>
            <w:pPr>
              <w:spacing w:after="0"/>
            </w:pPr>
            <w:r/>
            <w:r>
              <w:rPr>
                <w:b/>
                <w:sz w:val="19"/>
              </w:rPr>
              <w:t>Version</w:t>
            </w:r>
          </w:p>
        </w:tc>
        <w:tc>
          <w:tcPr>
            <w:tcW w:type="dxa" w:w="5386"/>
            <w:vAlign w:val="center"/>
          </w:tcPr>
          <w:p>
            <w:pPr>
              <w:spacing w:after="0"/>
            </w:pPr>
            <w:r/>
            <w:r>
              <w:rPr>
                <w:b w:val="0"/>
                <w:sz w:val="19"/>
              </w:rPr>
              <w:t>1.0 – Draft for architecture review</w:t>
            </w:r>
          </w:p>
        </w:tc>
      </w:tr>
      <w:tr>
        <w:tc>
          <w:tcPr>
            <w:tcW w:type="dxa" w:w="2551"/>
            <w:vAlign w:val="center"/>
            <w:shd w:val="clear" w:color="auto" w:fill="DEEAF6"/>
          </w:tcPr>
          <w:p>
            <w:pPr>
              <w:spacing w:after="0"/>
            </w:pPr>
            <w:r/>
            <w:r>
              <w:rPr>
                <w:b/>
                <w:sz w:val="19"/>
              </w:rPr>
              <w:t>Date</w:t>
            </w:r>
          </w:p>
        </w:tc>
        <w:tc>
          <w:tcPr>
            <w:tcW w:type="dxa" w:w="5386"/>
            <w:vAlign w:val="center"/>
          </w:tcPr>
          <w:p>
            <w:pPr>
              <w:spacing w:after="0"/>
            </w:pPr>
            <w:r/>
            <w:r>
              <w:rPr>
                <w:b w:val="0"/>
                <w:sz w:val="19"/>
              </w:rPr>
              <w:t>23 September 2026</w:t>
            </w:r>
          </w:p>
        </w:tc>
      </w:tr>
      <w:tr>
        <w:tc>
          <w:tcPr>
            <w:tcW w:type="dxa" w:w="2551"/>
            <w:vAlign w:val="center"/>
            <w:shd w:val="clear" w:color="auto" w:fill="DEEAF6"/>
          </w:tcPr>
          <w:p>
            <w:pPr>
              <w:spacing w:after="0"/>
            </w:pPr>
            <w:r/>
            <w:r>
              <w:rPr>
                <w:b/>
                <w:sz w:val="19"/>
              </w:rPr>
              <w:t>Classification</w:t>
            </w:r>
          </w:p>
        </w:tc>
        <w:tc>
          <w:tcPr>
            <w:tcW w:type="dxa" w:w="5386"/>
            <w:vAlign w:val="center"/>
          </w:tcPr>
          <w:p>
            <w:pPr>
              <w:spacing w:after="0"/>
            </w:pPr>
            <w:r/>
            <w:r>
              <w:rPr>
                <w:b w:val="0"/>
                <w:sz w:val="19"/>
              </w:rPr>
              <w:t>Confidential – TCB internal</w:t>
            </w:r>
          </w:p>
        </w:tc>
      </w:tr>
    </w:tbl>
    <w:p>
      <w:r>
        <w:br w:type="page"/>
      </w:r>
    </w:p>
    <w:p>
      <w:pPr>
        <w:pStyle w:val="Heading1"/>
      </w:pPr>
      <w:r>
        <w:t>Document Control</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1247"/>
        <w:gridCol w:w="1587"/>
        <w:gridCol w:w="2268"/>
        <w:gridCol w:w="4309"/>
      </w:tblGrid>
      <w:tr>
        <w:trPr>
          <w:tblHeader w:val="true"/>
        </w:trPr>
        <w:tc>
          <w:tcPr>
            <w:tcW w:type="dxa" w:w="1247"/>
            <w:vAlign w:val="center"/>
            <w:shd w:val="clear" w:color="auto" w:fill="1F3864"/>
          </w:tcPr>
          <w:p>
            <w:pPr>
              <w:spacing w:after="0"/>
            </w:pPr>
            <w:r/>
            <w:r>
              <w:rPr>
                <w:b/>
                <w:color w:val="FFFFFF"/>
                <w:sz w:val="19"/>
              </w:rPr>
              <w:t>Version</w:t>
            </w:r>
          </w:p>
        </w:tc>
        <w:tc>
          <w:tcPr>
            <w:tcW w:type="dxa" w:w="1587"/>
            <w:vAlign w:val="center"/>
            <w:shd w:val="clear" w:color="auto" w:fill="1F3864"/>
          </w:tcPr>
          <w:p>
            <w:pPr>
              <w:spacing w:after="0"/>
            </w:pPr>
            <w:r/>
            <w:r>
              <w:rPr>
                <w:b/>
                <w:color w:val="FFFFFF"/>
                <w:sz w:val="19"/>
              </w:rPr>
              <w:t>Date</w:t>
            </w:r>
          </w:p>
        </w:tc>
        <w:tc>
          <w:tcPr>
            <w:tcW w:type="dxa" w:w="2268"/>
            <w:vAlign w:val="center"/>
            <w:shd w:val="clear" w:color="auto" w:fill="1F3864"/>
          </w:tcPr>
          <w:p>
            <w:pPr>
              <w:spacing w:after="0"/>
            </w:pPr>
            <w:r/>
            <w:r>
              <w:rPr>
                <w:b/>
                <w:color w:val="FFFFFF"/>
                <w:sz w:val="19"/>
              </w:rPr>
              <w:t>Author</w:t>
            </w:r>
          </w:p>
        </w:tc>
        <w:tc>
          <w:tcPr>
            <w:tcW w:type="dxa" w:w="4309"/>
            <w:vAlign w:val="center"/>
            <w:shd w:val="clear" w:color="auto" w:fill="1F3864"/>
          </w:tcPr>
          <w:p>
            <w:pPr>
              <w:spacing w:after="0"/>
            </w:pPr>
            <w:r/>
            <w:r>
              <w:rPr>
                <w:b/>
                <w:color w:val="FFFFFF"/>
                <w:sz w:val="19"/>
              </w:rPr>
              <w:t>Description</w:t>
            </w:r>
          </w:p>
        </w:tc>
      </w:tr>
      <w:tr>
        <w:tc>
          <w:tcPr>
            <w:tcW w:type="dxa" w:w="1247"/>
            <w:vAlign w:val="center"/>
          </w:tcPr>
          <w:p>
            <w:pPr>
              <w:spacing w:after="0"/>
            </w:pPr>
            <w:r/>
            <w:r>
              <w:rPr>
                <w:b w:val="0"/>
                <w:sz w:val="19"/>
              </w:rPr>
              <w:t>0.1</w:t>
            </w:r>
          </w:p>
        </w:tc>
        <w:tc>
          <w:tcPr>
            <w:tcW w:type="dxa" w:w="1587"/>
            <w:vAlign w:val="center"/>
          </w:tcPr>
          <w:p>
            <w:pPr>
              <w:spacing w:after="0"/>
            </w:pPr>
            <w:r/>
            <w:r>
              <w:rPr>
                <w:b w:val="0"/>
                <w:sz w:val="19"/>
              </w:rPr>
              <w:t>[dd/mm/yyyy]</w:t>
            </w:r>
          </w:p>
        </w:tc>
        <w:tc>
          <w:tcPr>
            <w:tcW w:type="dxa" w:w="2268"/>
            <w:vAlign w:val="center"/>
          </w:tcPr>
          <w:p>
            <w:pPr>
              <w:spacing w:after="0"/>
            </w:pPr>
            <w:r/>
            <w:r>
              <w:rPr>
                <w:b w:val="0"/>
                <w:sz w:val="19"/>
              </w:rPr>
              <w:t>[Solution Architect]</w:t>
            </w:r>
          </w:p>
        </w:tc>
        <w:tc>
          <w:tcPr>
            <w:tcW w:type="dxa" w:w="4309"/>
            <w:vAlign w:val="center"/>
          </w:tcPr>
          <w:p>
            <w:pPr>
              <w:spacing w:after="0"/>
            </w:pPr>
            <w:r/>
            <w:r>
              <w:rPr>
                <w:b w:val="0"/>
                <w:sz w:val="19"/>
              </w:rPr>
              <w:t>Initial draft</w:t>
            </w:r>
          </w:p>
        </w:tc>
      </w:tr>
      <w:tr>
        <w:tc>
          <w:tcPr>
            <w:tcW w:type="dxa" w:w="1247"/>
            <w:vAlign w:val="center"/>
            <w:shd w:val="clear" w:color="auto" w:fill="F2F2F2"/>
          </w:tcPr>
          <w:p>
            <w:pPr>
              <w:spacing w:after="0"/>
            </w:pPr>
            <w:r/>
            <w:r>
              <w:rPr>
                <w:b w:val="0"/>
                <w:sz w:val="19"/>
              </w:rPr>
              <w:t>1.0</w:t>
            </w:r>
          </w:p>
        </w:tc>
        <w:tc>
          <w:tcPr>
            <w:tcW w:type="dxa" w:w="1587"/>
            <w:vAlign w:val="center"/>
            <w:shd w:val="clear" w:color="auto" w:fill="F2F2F2"/>
          </w:tcPr>
          <w:p>
            <w:pPr>
              <w:spacing w:after="0"/>
            </w:pPr>
            <w:r/>
            <w:r>
              <w:rPr>
                <w:b w:val="0"/>
                <w:sz w:val="19"/>
              </w:rPr>
              <w:t>23/09/2026</w:t>
            </w:r>
          </w:p>
        </w:tc>
        <w:tc>
          <w:tcPr>
            <w:tcW w:type="dxa" w:w="2268"/>
            <w:vAlign w:val="center"/>
            <w:shd w:val="clear" w:color="auto" w:fill="F2F2F2"/>
          </w:tcPr>
          <w:p>
            <w:pPr>
              <w:spacing w:after="0"/>
            </w:pPr>
            <w:r/>
            <w:r>
              <w:rPr>
                <w:b w:val="0"/>
                <w:sz w:val="19"/>
              </w:rPr>
              <w:t>[Solution Architect]</w:t>
            </w:r>
          </w:p>
        </w:tc>
        <w:tc>
          <w:tcPr>
            <w:tcW w:type="dxa" w:w="4309"/>
            <w:vAlign w:val="center"/>
            <w:shd w:val="clear" w:color="auto" w:fill="F2F2F2"/>
          </w:tcPr>
          <w:p>
            <w:pPr>
              <w:spacing w:after="0"/>
            </w:pPr>
            <w:r/>
            <w:r>
              <w:rPr>
                <w:b w:val="0"/>
                <w:sz w:val="19"/>
              </w:rPr>
              <w:t>Draft for architecture review board</w:t>
            </w:r>
          </w:p>
        </w:tc>
      </w:tr>
    </w:tbl>
    <w:p>
      <w:pPr>
        <w:spacing w:after="40"/>
      </w:pP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268"/>
        <w:gridCol w:w="3969"/>
        <w:gridCol w:w="3175"/>
      </w:tblGrid>
      <w:tr>
        <w:trPr>
          <w:tblHeader w:val="true"/>
        </w:trPr>
        <w:tc>
          <w:tcPr>
            <w:tcW w:type="dxa" w:w="2268"/>
            <w:vAlign w:val="center"/>
            <w:shd w:val="clear" w:color="auto" w:fill="1F3864"/>
          </w:tcPr>
          <w:p>
            <w:pPr>
              <w:spacing w:after="0"/>
            </w:pPr>
            <w:r/>
            <w:r>
              <w:rPr>
                <w:b/>
                <w:color w:val="FFFFFF"/>
                <w:sz w:val="19"/>
              </w:rPr>
              <w:t>Approver</w:t>
            </w:r>
          </w:p>
        </w:tc>
        <w:tc>
          <w:tcPr>
            <w:tcW w:type="dxa" w:w="3969"/>
            <w:vAlign w:val="center"/>
            <w:shd w:val="clear" w:color="auto" w:fill="1F3864"/>
          </w:tcPr>
          <w:p>
            <w:pPr>
              <w:spacing w:after="0"/>
            </w:pPr>
            <w:r/>
            <w:r>
              <w:rPr>
                <w:b/>
                <w:color w:val="FFFFFF"/>
                <w:sz w:val="19"/>
              </w:rPr>
              <w:t>Role</w:t>
            </w:r>
          </w:p>
        </w:tc>
        <w:tc>
          <w:tcPr>
            <w:tcW w:type="dxa" w:w="3175"/>
            <w:vAlign w:val="center"/>
            <w:shd w:val="clear" w:color="auto" w:fill="1F3864"/>
          </w:tcPr>
          <w:p>
            <w:pPr>
              <w:spacing w:after="0"/>
            </w:pPr>
            <w:r/>
            <w:r>
              <w:rPr>
                <w:b/>
                <w:color w:val="FFFFFF"/>
                <w:sz w:val="19"/>
              </w:rPr>
              <w:t>Signature / Date</w:t>
            </w:r>
          </w:p>
        </w:tc>
      </w:tr>
      <w:tr>
        <w:tc>
          <w:tcPr>
            <w:tcW w:type="dxa" w:w="2268"/>
            <w:vAlign w:val="center"/>
          </w:tcPr>
          <w:p>
            <w:pPr>
              <w:spacing w:after="0"/>
            </w:pPr>
            <w:r/>
            <w:r>
              <w:rPr>
                <w:b w:val="0"/>
                <w:sz w:val="19"/>
              </w:rPr>
              <w:t>[Name]</w:t>
            </w:r>
          </w:p>
        </w:tc>
        <w:tc>
          <w:tcPr>
            <w:tcW w:type="dxa" w:w="3969"/>
            <w:vAlign w:val="center"/>
          </w:tcPr>
          <w:p>
            <w:pPr>
              <w:spacing w:after="0"/>
            </w:pPr>
            <w:r/>
            <w:r>
              <w:rPr>
                <w:b w:val="0"/>
                <w:sz w:val="19"/>
              </w:rPr>
              <w:t>Head of ICT, TCB</w:t>
            </w:r>
          </w:p>
        </w:tc>
        <w:tc>
          <w:tcPr>
            <w:tcW w:type="dxa" w:w="3175"/>
            <w:vAlign w:val="center"/>
          </w:tcPr>
          <w:p>
            <w:pPr>
              <w:spacing w:after="0"/>
            </w:pPr>
            <w:r/>
            <w:r>
              <w:rPr>
                <w:b w:val="0"/>
                <w:sz w:val="19"/>
              </w:rPr>
            </w:r>
          </w:p>
        </w:tc>
      </w:tr>
      <w:tr>
        <w:tc>
          <w:tcPr>
            <w:tcW w:type="dxa" w:w="2268"/>
            <w:vAlign w:val="center"/>
            <w:shd w:val="clear" w:color="auto" w:fill="F2F2F2"/>
          </w:tcPr>
          <w:p>
            <w:pPr>
              <w:spacing w:after="0"/>
            </w:pPr>
            <w:r/>
            <w:r>
              <w:rPr>
                <w:b w:val="0"/>
                <w:sz w:val="19"/>
              </w:rPr>
              <w:t>[Name]</w:t>
            </w:r>
          </w:p>
        </w:tc>
        <w:tc>
          <w:tcPr>
            <w:tcW w:type="dxa" w:w="3969"/>
            <w:vAlign w:val="center"/>
            <w:shd w:val="clear" w:color="auto" w:fill="F2F2F2"/>
          </w:tcPr>
          <w:p>
            <w:pPr>
              <w:spacing w:after="0"/>
            </w:pPr>
            <w:r/>
            <w:r>
              <w:rPr>
                <w:b w:val="0"/>
                <w:sz w:val="19"/>
              </w:rPr>
              <w:t>Chief Information Security Officer, TCB</w:t>
            </w:r>
          </w:p>
        </w:tc>
        <w:tc>
          <w:tcPr>
            <w:tcW w:type="dxa" w:w="3175"/>
            <w:vAlign w:val="center"/>
            <w:shd w:val="clear" w:color="auto" w:fill="F2F2F2"/>
          </w:tcPr>
          <w:p>
            <w:pPr>
              <w:spacing w:after="0"/>
            </w:pPr>
            <w:r/>
            <w:r>
              <w:rPr>
                <w:b w:val="0"/>
                <w:sz w:val="19"/>
              </w:rPr>
            </w:r>
          </w:p>
        </w:tc>
      </w:tr>
      <w:tr>
        <w:tc>
          <w:tcPr>
            <w:tcW w:type="dxa" w:w="2268"/>
            <w:vAlign w:val="center"/>
          </w:tcPr>
          <w:p>
            <w:pPr>
              <w:spacing w:after="0"/>
            </w:pPr>
            <w:r/>
            <w:r>
              <w:rPr>
                <w:b w:val="0"/>
                <w:sz w:val="19"/>
              </w:rPr>
              <w:t>[Name]</w:t>
            </w:r>
          </w:p>
        </w:tc>
        <w:tc>
          <w:tcPr>
            <w:tcW w:type="dxa" w:w="3969"/>
            <w:vAlign w:val="center"/>
          </w:tcPr>
          <w:p>
            <w:pPr>
              <w:spacing w:after="0"/>
            </w:pPr>
            <w:r/>
            <w:r>
              <w:rPr>
                <w:b w:val="0"/>
                <w:sz w:val="19"/>
              </w:rPr>
              <w:t>Head of Treasury Operations, TCB</w:t>
            </w:r>
          </w:p>
        </w:tc>
        <w:tc>
          <w:tcPr>
            <w:tcW w:type="dxa" w:w="3175"/>
            <w:vAlign w:val="center"/>
          </w:tcPr>
          <w:p>
            <w:pPr>
              <w:spacing w:after="0"/>
            </w:pPr>
            <w:r/>
            <w:r>
              <w:rPr>
                <w:b w:val="0"/>
                <w:sz w:val="19"/>
              </w:rPr>
            </w:r>
          </w:p>
        </w:tc>
      </w:tr>
      <w:tr>
        <w:tc>
          <w:tcPr>
            <w:tcW w:type="dxa" w:w="2268"/>
            <w:vAlign w:val="center"/>
            <w:shd w:val="clear" w:color="auto" w:fill="F2F2F2"/>
          </w:tcPr>
          <w:p>
            <w:pPr>
              <w:spacing w:after="0"/>
            </w:pPr>
            <w:r/>
            <w:r>
              <w:rPr>
                <w:b w:val="0"/>
                <w:sz w:val="19"/>
              </w:rPr>
              <w:t>[Name]</w:t>
            </w:r>
          </w:p>
        </w:tc>
        <w:tc>
          <w:tcPr>
            <w:tcW w:type="dxa" w:w="3969"/>
            <w:vAlign w:val="center"/>
            <w:shd w:val="clear" w:color="auto" w:fill="F2F2F2"/>
          </w:tcPr>
          <w:p>
            <w:pPr>
              <w:spacing w:after="0"/>
            </w:pPr>
            <w:r/>
            <w:r>
              <w:rPr>
                <w:b w:val="0"/>
                <w:sz w:val="19"/>
              </w:rPr>
              <w:t>Enterprise / Solution Architect</w:t>
            </w:r>
          </w:p>
        </w:tc>
        <w:tc>
          <w:tcPr>
            <w:tcW w:type="dxa" w:w="3175"/>
            <w:vAlign w:val="center"/>
            <w:shd w:val="clear" w:color="auto" w:fill="F2F2F2"/>
          </w:tcPr>
          <w:p>
            <w:pPr>
              <w:spacing w:after="0"/>
            </w:pPr>
            <w:r/>
            <w:r>
              <w:rPr>
                <w:b w:val="0"/>
                <w:sz w:val="19"/>
              </w:rPr>
            </w:r>
          </w:p>
        </w:tc>
      </w:tr>
    </w:tbl>
    <w:p>
      <w:pPr>
        <w:spacing w:after="40"/>
      </w:pPr>
    </w:p>
    <w:p>
      <w:pPr>
        <w:pStyle w:val="Heading2"/>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Introduction</w:t>
      </w:r>
    </w:p>
    <w:p>
      <w:pPr>
        <w:pStyle w:val="Heading2"/>
      </w:pPr>
      <w:r>
        <w:t>1.1 Purpose</w:t>
      </w:r>
    </w:p>
    <w:p>
      <w:r>
        <w:rPr>
          <w:i w:val="0"/>
        </w:rPr>
        <w:t>This document describes the technical architecture of the GovSec Platform. The platform digitises how investors buy and manage Government securities (Treasury Bills and Treasury Bonds) through Tanzania Commercial Bank (TCB), from onboarding and CDS account opening through bidding, allocation, settlement, holdings, coupons and maturities. It integrates with TCB's Core Banking System (CBS) and with the Bank of Tanzania (BoT) Central Depository System (CDS) and Auction platforms.</w:t>
      </w:r>
    </w:p>
    <w:p>
      <w:r>
        <w:rPr>
          <w:i w:val="0"/>
        </w:rPr>
        <w:t>It is the reference for design, build, integration, security review, infrastructure provisioning and operations.</w:t>
      </w:r>
    </w:p>
    <w:p>
      <w:pPr>
        <w:pStyle w:val="Heading2"/>
      </w:pPr>
      <w:r>
        <w:t>1.2 Audience</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835"/>
        <w:gridCol w:w="6577"/>
      </w:tblGrid>
      <w:tr>
        <w:trPr>
          <w:tblHeader w:val="true"/>
        </w:trPr>
        <w:tc>
          <w:tcPr>
            <w:tcW w:type="dxa" w:w="2835"/>
            <w:vAlign w:val="center"/>
            <w:shd w:val="clear" w:color="auto" w:fill="1F3864"/>
          </w:tcPr>
          <w:p>
            <w:pPr>
              <w:spacing w:after="0"/>
            </w:pPr>
            <w:r/>
            <w:r>
              <w:rPr>
                <w:b/>
                <w:color w:val="FFFFFF"/>
                <w:sz w:val="19"/>
              </w:rPr>
              <w:t>Audience</w:t>
            </w:r>
          </w:p>
        </w:tc>
        <w:tc>
          <w:tcPr>
            <w:tcW w:type="dxa" w:w="6576"/>
            <w:vAlign w:val="center"/>
            <w:shd w:val="clear" w:color="auto" w:fill="1F3864"/>
          </w:tcPr>
          <w:p>
            <w:pPr>
              <w:spacing w:after="0"/>
            </w:pPr>
            <w:r/>
            <w:r>
              <w:rPr>
                <w:b/>
                <w:color w:val="FFFFFF"/>
                <w:sz w:val="19"/>
              </w:rPr>
              <w:t>Use of this document</w:t>
            </w:r>
          </w:p>
        </w:tc>
      </w:tr>
      <w:tr>
        <w:tc>
          <w:tcPr>
            <w:tcW w:type="dxa" w:w="2835"/>
            <w:vAlign w:val="center"/>
          </w:tcPr>
          <w:p>
            <w:pPr>
              <w:spacing w:after="0"/>
            </w:pPr>
            <w:r/>
            <w:r>
              <w:rPr>
                <w:b w:val="0"/>
                <w:sz w:val="19"/>
              </w:rPr>
              <w:t>Architecture review board</w:t>
            </w:r>
          </w:p>
        </w:tc>
        <w:tc>
          <w:tcPr>
            <w:tcW w:type="dxa" w:w="6576"/>
            <w:vAlign w:val="center"/>
          </w:tcPr>
          <w:p>
            <w:pPr>
              <w:spacing w:after="0"/>
            </w:pPr>
            <w:r/>
            <w:r>
              <w:rPr>
                <w:b w:val="0"/>
                <w:sz w:val="19"/>
              </w:rPr>
              <w:t>Approve the target architecture and key decisions</w:t>
            </w:r>
          </w:p>
        </w:tc>
      </w:tr>
      <w:tr>
        <w:tc>
          <w:tcPr>
            <w:tcW w:type="dxa" w:w="2835"/>
            <w:vAlign w:val="center"/>
            <w:shd w:val="clear" w:color="auto" w:fill="F2F2F2"/>
          </w:tcPr>
          <w:p>
            <w:pPr>
              <w:spacing w:after="0"/>
            </w:pPr>
            <w:r/>
            <w:r>
              <w:rPr>
                <w:b w:val="0"/>
                <w:sz w:val="19"/>
              </w:rPr>
              <w:t>Development and integration teams</w:t>
            </w:r>
          </w:p>
        </w:tc>
        <w:tc>
          <w:tcPr>
            <w:tcW w:type="dxa" w:w="6576"/>
            <w:vAlign w:val="center"/>
            <w:shd w:val="clear" w:color="auto" w:fill="F2F2F2"/>
          </w:tcPr>
          <w:p>
            <w:pPr>
              <w:spacing w:after="0"/>
            </w:pPr>
            <w:r/>
            <w:r>
              <w:rPr>
                <w:b w:val="0"/>
                <w:sz w:val="19"/>
              </w:rPr>
              <w:t>Service boundaries, APIs, integration patterns, data ownership</w:t>
            </w:r>
          </w:p>
        </w:tc>
      </w:tr>
      <w:tr>
        <w:tc>
          <w:tcPr>
            <w:tcW w:type="dxa" w:w="2835"/>
            <w:vAlign w:val="center"/>
          </w:tcPr>
          <w:p>
            <w:pPr>
              <w:spacing w:after="0"/>
            </w:pPr>
            <w:r/>
            <w:r>
              <w:rPr>
                <w:b w:val="0"/>
                <w:sz w:val="19"/>
              </w:rPr>
              <w:t>Information security</w:t>
            </w:r>
          </w:p>
        </w:tc>
        <w:tc>
          <w:tcPr>
            <w:tcW w:type="dxa" w:w="6576"/>
            <w:vAlign w:val="center"/>
          </w:tcPr>
          <w:p>
            <w:pPr>
              <w:spacing w:after="0"/>
            </w:pPr>
            <w:r/>
            <w:r>
              <w:rPr>
                <w:b w:val="0"/>
                <w:sz w:val="19"/>
              </w:rPr>
              <w:t>Security controls, trust boundaries, compliance mapping</w:t>
            </w:r>
          </w:p>
        </w:tc>
      </w:tr>
      <w:tr>
        <w:tc>
          <w:tcPr>
            <w:tcW w:type="dxa" w:w="2835"/>
            <w:vAlign w:val="center"/>
            <w:shd w:val="clear" w:color="auto" w:fill="F2F2F2"/>
          </w:tcPr>
          <w:p>
            <w:pPr>
              <w:spacing w:after="0"/>
            </w:pPr>
            <w:r/>
            <w:r>
              <w:rPr>
                <w:b w:val="0"/>
                <w:sz w:val="19"/>
              </w:rPr>
              <w:t>Infrastructure and operations</w:t>
            </w:r>
          </w:p>
        </w:tc>
        <w:tc>
          <w:tcPr>
            <w:tcW w:type="dxa" w:w="6576"/>
            <w:vAlign w:val="center"/>
            <w:shd w:val="clear" w:color="auto" w:fill="F2F2F2"/>
          </w:tcPr>
          <w:p>
            <w:pPr>
              <w:spacing w:after="0"/>
            </w:pPr>
            <w:r/>
            <w:r>
              <w:rPr>
                <w:b w:val="0"/>
                <w:sz w:val="19"/>
              </w:rPr>
              <w:t>Deployment topology, sizing, HA/DR, monitoring</w:t>
            </w:r>
          </w:p>
        </w:tc>
      </w:tr>
      <w:tr>
        <w:tc>
          <w:tcPr>
            <w:tcW w:type="dxa" w:w="2835"/>
            <w:vAlign w:val="center"/>
          </w:tcPr>
          <w:p>
            <w:pPr>
              <w:spacing w:after="0"/>
            </w:pPr>
            <w:r/>
            <w:r>
              <w:rPr>
                <w:b w:val="0"/>
                <w:sz w:val="19"/>
              </w:rPr>
              <w:t>BoT technical counterparts</w:t>
            </w:r>
          </w:p>
        </w:tc>
        <w:tc>
          <w:tcPr>
            <w:tcW w:type="dxa" w:w="6576"/>
            <w:vAlign w:val="center"/>
          </w:tcPr>
          <w:p>
            <w:pPr>
              <w:spacing w:after="0"/>
            </w:pPr>
            <w:r/>
            <w:r>
              <w:rPr>
                <w:b w:val="0"/>
                <w:sz w:val="19"/>
              </w:rPr>
              <w:t>Interfaces, security of connectivity, reconciliation</w:t>
            </w:r>
          </w:p>
        </w:tc>
      </w:tr>
    </w:tbl>
    <w:p>
      <w:pPr>
        <w:spacing w:after="40"/>
      </w:pPr>
    </w:p>
    <w:p>
      <w:pPr>
        <w:pStyle w:val="Heading2"/>
      </w:pPr>
      <w:r>
        <w:t>1.3 Scope</w:t>
      </w:r>
    </w:p>
    <w:p>
      <w:pPr>
        <w:pStyle w:val="ListBullet"/>
        <w:spacing w:after="40"/>
      </w:pPr>
      <w:r>
        <w:t>Investor onboarding (individual, joint, minor via guardian, corporate, institutional), KYC and initiation of the CDS account.</w:t>
      </w:r>
    </w:p>
    <w:p>
      <w:pPr>
        <w:pStyle w:val="ListBullet"/>
        <w:spacing w:after="40"/>
      </w:pPr>
      <w:r>
        <w:t>Auction catalogue (T-Bills 35/91/182/364-day and T-Bonds of all tenors), competitive and non-competitive bidding, funds holds, and consolidated submission to BoT.</w:t>
      </w:r>
    </w:p>
    <w:p>
      <w:pPr>
        <w:pStyle w:val="ListBullet"/>
        <w:spacing w:after="40"/>
      </w:pPr>
      <w:r>
        <w:t>Results, allocation, instant notification, payment and settlement, holdings, coupons, redemptions and rollovers.</w:t>
      </w:r>
    </w:p>
    <w:p>
      <w:pPr>
        <w:pStyle w:val="ListBullet"/>
        <w:spacing w:after="40"/>
      </w:pPr>
      <w:r>
        <w:t>Investor channels: USSD, Chatbot, Web Portal and Mobile App. Staff back-office and BoT oversight portals.</w:t>
      </w:r>
    </w:p>
    <w:p>
      <w:pPr>
        <w:pStyle w:val="ListBullet"/>
        <w:spacing w:after="40"/>
      </w:pPr>
      <w:r>
        <w:t>Reporting and analytics for TCB and BoT.</w:t>
      </w:r>
    </w:p>
    <w:p>
      <w:pPr>
        <w:spacing w:after="0"/>
      </w:pPr>
    </w:p>
    <w:p>
      <w:r>
        <w:rPr>
          <w:i w:val="0"/>
        </w:rPr>
        <w:t>Not covered: secondary-market trading, and onboarding other banks as participants. The architecture supports both as extensions (Section 4.4).</w:t>
      </w:r>
    </w:p>
    <w:p>
      <w:pPr>
        <w:pStyle w:val="Heading2"/>
      </w:pPr>
      <w:r>
        <w:t>1.4 Key Architectural Decisions (summary)</w:t>
      </w:r>
    </w:p>
    <w:p>
      <w:pPr>
        <w:pStyle w:val="ListBullet"/>
        <w:spacing w:after="40"/>
      </w:pPr>
      <w:r>
        <w:rPr>
          <w:b/>
        </w:rPr>
        <w:t xml:space="preserve">One core, many channels: </w:t>
      </w:r>
      <w:r>
        <w:t>every channel uses the same versioned APIs. Business rules are defined once.</w:t>
      </w:r>
    </w:p>
    <w:p>
      <w:pPr>
        <w:pStyle w:val="ListBullet"/>
        <w:spacing w:after="40"/>
      </w:pPr>
      <w:r>
        <w:rPr>
          <w:b/>
        </w:rPr>
        <w:t xml:space="preserve">Anti-corruption adapters </w:t>
      </w:r>
      <w:r>
        <w:t>for CBS, BoT CDS, BoT Auction, payment rails, NIDA, SMS and USSD.</w:t>
      </w:r>
    </w:p>
    <w:p>
      <w:pPr>
        <w:pStyle w:val="ListBullet"/>
        <w:spacing w:after="40"/>
      </w:pPr>
      <w:r>
        <w:rPr>
          <w:b/>
        </w:rPr>
        <w:t xml:space="preserve">Funds held before a bid is accepted, </w:t>
      </w:r>
      <w:r>
        <w:t>so settlement cannot fail for lack of funds.</w:t>
      </w:r>
    </w:p>
    <w:p>
      <w:pPr>
        <w:pStyle w:val="ListBullet"/>
        <w:spacing w:after="40"/>
      </w:pPr>
      <w:r>
        <w:rPr>
          <w:b/>
        </w:rPr>
        <w:t xml:space="preserve">Event-driven core </w:t>
      </w:r>
      <w:r>
        <w:t>(Kafka) feeding the audit trail, notifications, analytics and three-way reconciliation.</w:t>
      </w:r>
    </w:p>
    <w:p>
      <w:pPr>
        <w:pStyle w:val="ListBullet"/>
        <w:spacing w:after="40"/>
      </w:pPr>
      <w:r>
        <w:rPr>
          <w:b/>
        </w:rPr>
        <w:t xml:space="preserve">On-premise Kubernetes </w:t>
      </w:r>
      <w:r>
        <w:t>in TCB's primary and DR data centres, for in-country data residency.</w:t>
      </w:r>
    </w:p>
    <w:p>
      <w:pPr>
        <w:spacing w:after="0"/>
      </w:pPr>
    </w:p>
    <w:p>
      <w:r>
        <w:rPr>
          <w:i w:val="0"/>
        </w:rPr>
        <w:t>Section 17 records the full decisions and their rationale.</w:t>
      </w:r>
    </w:p>
    <w:p>
      <w:pPr>
        <w:pStyle w:val="Heading2"/>
      </w:pPr>
      <w:r>
        <w:t>1.5 References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907"/>
        <w:gridCol w:w="8505"/>
      </w:tblGrid>
      <w:tr>
        <w:trPr>
          <w:tblHeader w:val="true"/>
        </w:trPr>
        <w:tc>
          <w:tcPr>
            <w:tcW w:type="dxa" w:w="907"/>
            <w:vAlign w:val="center"/>
            <w:shd w:val="clear" w:color="auto" w:fill="1F3864"/>
          </w:tcPr>
          <w:p>
            <w:pPr>
              <w:spacing w:after="0"/>
            </w:pPr>
            <w:r/>
            <w:r>
              <w:rPr>
                <w:b/>
                <w:color w:val="FFFFFF"/>
                <w:sz w:val="19"/>
              </w:rPr>
              <w:t>Ref</w:t>
            </w:r>
          </w:p>
        </w:tc>
        <w:tc>
          <w:tcPr>
            <w:tcW w:type="dxa" w:w="8504"/>
            <w:vAlign w:val="center"/>
            <w:shd w:val="clear" w:color="auto" w:fill="1F3864"/>
          </w:tcPr>
          <w:p>
            <w:pPr>
              <w:spacing w:after="0"/>
            </w:pPr>
            <w:r/>
            <w:r>
              <w:rPr>
                <w:b/>
                <w:color w:val="FFFFFF"/>
                <w:sz w:val="19"/>
              </w:rPr>
              <w:t>Document</w:t>
            </w:r>
          </w:p>
        </w:tc>
      </w:tr>
      <w:tr>
        <w:tc>
          <w:tcPr>
            <w:tcW w:type="dxa" w:w="907"/>
            <w:vAlign w:val="center"/>
          </w:tcPr>
          <w:p>
            <w:pPr>
              <w:spacing w:after="0"/>
            </w:pPr>
            <w:r/>
            <w:r>
              <w:rPr>
                <w:b w:val="0"/>
                <w:sz w:val="19"/>
              </w:rPr>
              <w:t>R1</w:t>
            </w:r>
          </w:p>
        </w:tc>
        <w:tc>
          <w:tcPr>
            <w:tcW w:type="dxa" w:w="8504"/>
            <w:vAlign w:val="center"/>
          </w:tcPr>
          <w:p>
            <w:pPr>
              <w:spacing w:after="0"/>
            </w:pPr>
            <w:r/>
            <w:r>
              <w:rPr>
                <w:b w:val="0"/>
                <w:sz w:val="19"/>
              </w:rPr>
              <w:t>BoT Government Securities auction rules and procedures (current edition)</w:t>
            </w:r>
          </w:p>
        </w:tc>
      </w:tr>
      <w:tr>
        <w:tc>
          <w:tcPr>
            <w:tcW w:type="dxa" w:w="907"/>
            <w:vAlign w:val="center"/>
            <w:shd w:val="clear" w:color="auto" w:fill="F2F2F2"/>
          </w:tcPr>
          <w:p>
            <w:pPr>
              <w:spacing w:after="0"/>
            </w:pPr>
            <w:r/>
            <w:r>
              <w:rPr>
                <w:b w:val="0"/>
                <w:sz w:val="19"/>
              </w:rPr>
              <w:t>R2</w:t>
            </w:r>
          </w:p>
        </w:tc>
        <w:tc>
          <w:tcPr>
            <w:tcW w:type="dxa" w:w="8504"/>
            <w:vAlign w:val="center"/>
            <w:shd w:val="clear" w:color="auto" w:fill="F2F2F2"/>
          </w:tcPr>
          <w:p>
            <w:pPr>
              <w:spacing w:after="0"/>
            </w:pPr>
            <w:r/>
            <w:r>
              <w:rPr>
                <w:b w:val="0"/>
                <w:sz w:val="19"/>
              </w:rPr>
              <w:t>BoT Government Securities Bidding Process &amp; Authentication API, BOT-SPEC-GSS-2026-v1.0 (Sept 2026)</w:t>
            </w:r>
          </w:p>
        </w:tc>
      </w:tr>
      <w:tr>
        <w:tc>
          <w:tcPr>
            <w:tcW w:type="dxa" w:w="907"/>
            <w:vAlign w:val="center"/>
          </w:tcPr>
          <w:p>
            <w:pPr>
              <w:spacing w:after="0"/>
            </w:pPr>
            <w:r/>
            <w:r>
              <w:rPr>
                <w:b w:val="0"/>
                <w:sz w:val="19"/>
              </w:rPr>
              <w:t>R2a</w:t>
            </w:r>
          </w:p>
        </w:tc>
        <w:tc>
          <w:tcPr>
            <w:tcW w:type="dxa" w:w="8504"/>
            <w:vAlign w:val="center"/>
          </w:tcPr>
          <w:p>
            <w:pPr>
              <w:spacing w:after="0"/>
            </w:pPr>
            <w:r/>
            <w:r>
              <w:rPr>
                <w:b w:val="0"/>
                <w:sz w:val="19"/>
              </w:rPr>
              <w:t>BoT CDS account-opening, holdings and settlement interface specifications (to be obtained)</w:t>
            </w:r>
          </w:p>
        </w:tc>
      </w:tr>
      <w:tr>
        <w:tc>
          <w:tcPr>
            <w:tcW w:type="dxa" w:w="907"/>
            <w:vAlign w:val="center"/>
            <w:shd w:val="clear" w:color="auto" w:fill="F2F2F2"/>
          </w:tcPr>
          <w:p>
            <w:pPr>
              <w:spacing w:after="0"/>
            </w:pPr>
            <w:r/>
            <w:r>
              <w:rPr>
                <w:b w:val="0"/>
                <w:sz w:val="19"/>
              </w:rPr>
              <w:t>R3</w:t>
            </w:r>
          </w:p>
        </w:tc>
        <w:tc>
          <w:tcPr>
            <w:tcW w:type="dxa" w:w="8504"/>
            <w:vAlign w:val="center"/>
            <w:shd w:val="clear" w:color="auto" w:fill="F2F2F2"/>
          </w:tcPr>
          <w:p>
            <w:pPr>
              <w:spacing w:after="0"/>
            </w:pPr>
            <w:r/>
            <w:r>
              <w:rPr>
                <w:b w:val="0"/>
                <w:sz w:val="19"/>
              </w:rPr>
              <w:t>BoT cybersecurity and ICT risk management guidelines for banks</w:t>
            </w:r>
          </w:p>
        </w:tc>
      </w:tr>
      <w:tr>
        <w:tc>
          <w:tcPr>
            <w:tcW w:type="dxa" w:w="907"/>
            <w:vAlign w:val="center"/>
          </w:tcPr>
          <w:p>
            <w:pPr>
              <w:spacing w:after="0"/>
            </w:pPr>
            <w:r/>
            <w:r>
              <w:rPr>
                <w:b w:val="0"/>
                <w:sz w:val="19"/>
              </w:rPr>
              <w:t>R4</w:t>
            </w:r>
          </w:p>
        </w:tc>
        <w:tc>
          <w:tcPr>
            <w:tcW w:type="dxa" w:w="8504"/>
            <w:vAlign w:val="center"/>
          </w:tcPr>
          <w:p>
            <w:pPr>
              <w:spacing w:after="0"/>
            </w:pPr>
            <w:r/>
            <w:r>
              <w:rPr>
                <w:b w:val="0"/>
                <w:sz w:val="19"/>
              </w:rPr>
              <w:t>Personal data protection legislation of Tanzania</w:t>
            </w:r>
          </w:p>
        </w:tc>
      </w:tr>
      <w:tr>
        <w:tc>
          <w:tcPr>
            <w:tcW w:type="dxa" w:w="907"/>
            <w:vAlign w:val="center"/>
            <w:shd w:val="clear" w:color="auto" w:fill="F2F2F2"/>
          </w:tcPr>
          <w:p>
            <w:pPr>
              <w:spacing w:after="0"/>
            </w:pPr>
            <w:r/>
            <w:r>
              <w:rPr>
                <w:b w:val="0"/>
                <w:sz w:val="19"/>
              </w:rPr>
              <w:t>R5</w:t>
            </w:r>
          </w:p>
        </w:tc>
        <w:tc>
          <w:tcPr>
            <w:tcW w:type="dxa" w:w="8504"/>
            <w:vAlign w:val="center"/>
            <w:shd w:val="clear" w:color="auto" w:fill="F2F2F2"/>
          </w:tcPr>
          <w:p>
            <w:pPr>
              <w:spacing w:after="0"/>
            </w:pPr>
            <w:r/>
            <w:r>
              <w:rPr>
                <w:b w:val="0"/>
                <w:sz w:val="19"/>
              </w:rPr>
              <w:t>TCB ICT Policy, Information Security Policy, and Change Management standards</w:t>
            </w:r>
          </w:p>
        </w:tc>
      </w:tr>
      <w:tr>
        <w:tc>
          <w:tcPr>
            <w:tcW w:type="dxa" w:w="907"/>
            <w:vAlign w:val="center"/>
          </w:tcPr>
          <w:p>
            <w:pPr>
              <w:spacing w:after="0"/>
            </w:pPr>
            <w:r/>
            <w:r>
              <w:rPr>
                <w:b w:val="0"/>
                <w:sz w:val="19"/>
              </w:rPr>
              <w:t>R6</w:t>
            </w:r>
          </w:p>
        </w:tc>
        <w:tc>
          <w:tcPr>
            <w:tcW w:type="dxa" w:w="8504"/>
            <w:vAlign w:val="center"/>
          </w:tcPr>
          <w:p>
            <w:pPr>
              <w:spacing w:after="0"/>
            </w:pPr>
            <w:r/>
            <w:r>
              <w:rPr>
                <w:b w:val="0"/>
                <w:sz w:val="19"/>
              </w:rPr>
              <w:t>TCB CBS integration / API gateway specifications</w:t>
            </w:r>
          </w:p>
        </w:tc>
      </w:tr>
    </w:tbl>
    <w:p>
      <w:pPr>
        <w:spacing w:after="40"/>
      </w:pPr>
    </w:p>
    <w:p>
      <w:pPr>
        <w:pStyle w:val="Heading1"/>
      </w:pPr>
      <w:r>
        <w:t>2. System Context</w:t>
      </w:r>
    </w:p>
    <w:p>
      <w:r>
        <w:rPr>
          <w:i w:val="0"/>
        </w:rPr>
        <w:t>Figure 1 shows the GovSec Platform as a single system, with the people and external systems it interacts with.</w:t>
      </w:r>
    </w:p>
    <w:p>
      <w:pPr>
        <w:keepNext/>
        <w:jc w:val="center"/>
      </w:pPr>
      <w:r>
        <w:drawing>
          <wp:inline xmlns:a="http://schemas.openxmlformats.org/drawingml/2006/main" xmlns:pic="http://schemas.openxmlformats.org/drawingml/2006/picture">
            <wp:extent cx="5976000" cy="4236320"/>
            <wp:docPr id="1" name="Picture 1"/>
            <wp:cNvGraphicFramePr>
              <a:graphicFrameLocks noChangeAspect="1"/>
            </wp:cNvGraphicFramePr>
            <a:graphic>
              <a:graphicData uri="http://schemas.openxmlformats.org/drawingml/2006/picture">
                <pic:pic>
                  <pic:nvPicPr>
                    <pic:cNvPr id="0" name="01_context.png"/>
                    <pic:cNvPicPr/>
                  </pic:nvPicPr>
                  <pic:blipFill>
                    <a:blip r:embed="rId11"/>
                    <a:stretch>
                      <a:fillRect/>
                    </a:stretch>
                  </pic:blipFill>
                  <pic:spPr>
                    <a:xfrm>
                      <a:off x="0" y="0"/>
                      <a:ext cx="5976000" cy="4236320"/>
                    </a:xfrm>
                    <a:prstGeom prst="rect"/>
                  </pic:spPr>
                </pic:pic>
              </a:graphicData>
            </a:graphic>
          </wp:inline>
        </w:drawing>
      </w:r>
    </w:p>
    <w:p>
      <w:pPr>
        <w:jc w:val="center"/>
      </w:pPr>
      <w:r>
        <w:rPr>
          <w:i/>
          <w:color w:val="595959"/>
          <w:sz w:val="18"/>
        </w:rPr>
        <w:t>Figure 1 – System context</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608"/>
        <w:gridCol w:w="2721"/>
        <w:gridCol w:w="4082"/>
      </w:tblGrid>
      <w:tr>
        <w:trPr>
          <w:tblHeader w:val="true"/>
        </w:trPr>
        <w:tc>
          <w:tcPr>
            <w:tcW w:type="dxa" w:w="2608"/>
            <w:vAlign w:val="center"/>
            <w:shd w:val="clear" w:color="auto" w:fill="1F3864"/>
          </w:tcPr>
          <w:p>
            <w:pPr>
              <w:spacing w:after="0"/>
            </w:pPr>
            <w:r/>
            <w:r>
              <w:rPr>
                <w:b/>
                <w:color w:val="FFFFFF"/>
                <w:sz w:val="19"/>
              </w:rPr>
              <w:t>Actor / system</w:t>
            </w:r>
          </w:p>
        </w:tc>
        <w:tc>
          <w:tcPr>
            <w:tcW w:type="dxa" w:w="2721"/>
            <w:vAlign w:val="center"/>
            <w:shd w:val="clear" w:color="auto" w:fill="1F3864"/>
          </w:tcPr>
          <w:p>
            <w:pPr>
              <w:spacing w:after="0"/>
            </w:pPr>
            <w:r/>
            <w:r>
              <w:rPr>
                <w:b/>
                <w:color w:val="FFFFFF"/>
                <w:sz w:val="19"/>
              </w:rPr>
              <w:t>Role</w:t>
            </w:r>
          </w:p>
        </w:tc>
        <w:tc>
          <w:tcPr>
            <w:tcW w:type="dxa" w:w="4082"/>
            <w:vAlign w:val="center"/>
            <w:shd w:val="clear" w:color="auto" w:fill="1F3864"/>
          </w:tcPr>
          <w:p>
            <w:pPr>
              <w:spacing w:after="0"/>
            </w:pPr>
            <w:r/>
            <w:r>
              <w:rPr>
                <w:b/>
                <w:color w:val="FFFFFF"/>
                <w:sz w:val="19"/>
              </w:rPr>
              <w:t>Interaction</w:t>
            </w:r>
          </w:p>
        </w:tc>
      </w:tr>
      <w:tr>
        <w:tc>
          <w:tcPr>
            <w:tcW w:type="dxa" w:w="2608"/>
            <w:vAlign w:val="center"/>
          </w:tcPr>
          <w:p>
            <w:pPr>
              <w:spacing w:after="0"/>
            </w:pPr>
            <w:r/>
            <w:r>
              <w:rPr>
                <w:b w:val="0"/>
                <w:sz w:val="19"/>
              </w:rPr>
              <w:t>Investors (retail, corporate, institutional)</w:t>
            </w:r>
          </w:p>
        </w:tc>
        <w:tc>
          <w:tcPr>
            <w:tcW w:type="dxa" w:w="2721"/>
            <w:vAlign w:val="center"/>
          </w:tcPr>
          <w:p>
            <w:pPr>
              <w:spacing w:after="0"/>
            </w:pPr>
            <w:r/>
            <w:r>
              <w:rPr>
                <w:b w:val="0"/>
                <w:sz w:val="19"/>
              </w:rPr>
              <w:t>End-users and holders of securities</w:t>
            </w:r>
          </w:p>
        </w:tc>
        <w:tc>
          <w:tcPr>
            <w:tcW w:type="dxa" w:w="4082"/>
            <w:vAlign w:val="center"/>
          </w:tcPr>
          <w:p>
            <w:pPr>
              <w:spacing w:after="0"/>
            </w:pPr>
            <w:r/>
            <w:r>
              <w:rPr>
                <w:b w:val="0"/>
                <w:sz w:val="19"/>
              </w:rPr>
              <w:t>USSD, chatbot, web portal, mobile app</w:t>
            </w:r>
          </w:p>
        </w:tc>
      </w:tr>
      <w:tr>
        <w:tc>
          <w:tcPr>
            <w:tcW w:type="dxa" w:w="2608"/>
            <w:vAlign w:val="center"/>
            <w:shd w:val="clear" w:color="auto" w:fill="F2F2F2"/>
          </w:tcPr>
          <w:p>
            <w:pPr>
              <w:spacing w:after="0"/>
            </w:pPr>
            <w:r/>
            <w:r>
              <w:rPr>
                <w:b w:val="0"/>
                <w:sz w:val="19"/>
              </w:rPr>
              <w:t>TCB staff</w:t>
            </w:r>
          </w:p>
        </w:tc>
        <w:tc>
          <w:tcPr>
            <w:tcW w:type="dxa" w:w="2721"/>
            <w:vAlign w:val="center"/>
            <w:shd w:val="clear" w:color="auto" w:fill="F2F2F2"/>
          </w:tcPr>
          <w:p>
            <w:pPr>
              <w:spacing w:after="0"/>
            </w:pPr>
            <w:r/>
            <w:r>
              <w:rPr>
                <w:b w:val="0"/>
                <w:sz w:val="19"/>
              </w:rPr>
              <w:t>Operate the platform</w:t>
            </w:r>
          </w:p>
        </w:tc>
        <w:tc>
          <w:tcPr>
            <w:tcW w:type="dxa" w:w="4082"/>
            <w:vAlign w:val="center"/>
            <w:shd w:val="clear" w:color="auto" w:fill="F2F2F2"/>
          </w:tcPr>
          <w:p>
            <w:pPr>
              <w:spacing w:after="0"/>
            </w:pPr>
            <w:r/>
            <w:r>
              <w:rPr>
                <w:b w:val="0"/>
                <w:sz w:val="19"/>
              </w:rPr>
              <w:t>Back-office portal: KYC exceptions, auction control, settlement, reconciliation</w:t>
            </w:r>
          </w:p>
        </w:tc>
      </w:tr>
      <w:tr>
        <w:tc>
          <w:tcPr>
            <w:tcW w:type="dxa" w:w="2608"/>
            <w:vAlign w:val="center"/>
          </w:tcPr>
          <w:p>
            <w:pPr>
              <w:spacing w:after="0"/>
            </w:pPr>
            <w:r/>
            <w:r>
              <w:rPr>
                <w:b w:val="0"/>
                <w:sz w:val="19"/>
              </w:rPr>
              <w:t>Bank of Tanzania</w:t>
            </w:r>
          </w:p>
        </w:tc>
        <w:tc>
          <w:tcPr>
            <w:tcW w:type="dxa" w:w="2721"/>
            <w:vAlign w:val="center"/>
          </w:tcPr>
          <w:p>
            <w:pPr>
              <w:spacing w:after="0"/>
            </w:pPr>
            <w:r/>
            <w:r>
              <w:rPr>
                <w:b w:val="0"/>
                <w:sz w:val="19"/>
              </w:rPr>
              <w:t>Regulator, auction authority, fiscal agent</w:t>
            </w:r>
          </w:p>
        </w:tc>
        <w:tc>
          <w:tcPr>
            <w:tcW w:type="dxa" w:w="4082"/>
            <w:vAlign w:val="center"/>
          </w:tcPr>
          <w:p>
            <w:pPr>
              <w:spacing w:after="0"/>
            </w:pPr>
            <w:r/>
            <w:r>
              <w:rPr>
                <w:b w:val="0"/>
                <w:sz w:val="19"/>
              </w:rPr>
              <w:t>Auction and CDS interfaces; oversight portal; regulatory reports</w:t>
            </w:r>
          </w:p>
        </w:tc>
      </w:tr>
      <w:tr>
        <w:tc>
          <w:tcPr>
            <w:tcW w:type="dxa" w:w="2608"/>
            <w:vAlign w:val="center"/>
            <w:shd w:val="clear" w:color="auto" w:fill="F2F2F2"/>
          </w:tcPr>
          <w:p>
            <w:pPr>
              <w:spacing w:after="0"/>
            </w:pPr>
            <w:r/>
            <w:r>
              <w:rPr>
                <w:b w:val="0"/>
                <w:sz w:val="19"/>
              </w:rPr>
              <w:t>Central Depository (CDS/CSD)</w:t>
            </w:r>
          </w:p>
        </w:tc>
        <w:tc>
          <w:tcPr>
            <w:tcW w:type="dxa" w:w="2721"/>
            <w:vAlign w:val="center"/>
            <w:shd w:val="clear" w:color="auto" w:fill="F2F2F2"/>
          </w:tcPr>
          <w:p>
            <w:pPr>
              <w:spacing w:after="0"/>
            </w:pPr>
            <w:r/>
            <w:r>
              <w:rPr>
                <w:b w:val="0"/>
                <w:sz w:val="19"/>
              </w:rPr>
              <w:t>Custodian and record-keeper of securities</w:t>
            </w:r>
          </w:p>
        </w:tc>
        <w:tc>
          <w:tcPr>
            <w:tcW w:type="dxa" w:w="4082"/>
            <w:vAlign w:val="center"/>
            <w:shd w:val="clear" w:color="auto" w:fill="F2F2F2"/>
          </w:tcPr>
          <w:p>
            <w:pPr>
              <w:spacing w:after="0"/>
            </w:pPr>
            <w:r/>
            <w:r>
              <w:rPr>
                <w:b w:val="0"/>
                <w:sz w:val="19"/>
              </w:rPr>
              <w:t>Account opening, holdings, statements, coupon/redemption data</w:t>
            </w:r>
          </w:p>
        </w:tc>
      </w:tr>
      <w:tr>
        <w:tc>
          <w:tcPr>
            <w:tcW w:type="dxa" w:w="2608"/>
            <w:vAlign w:val="center"/>
          </w:tcPr>
          <w:p>
            <w:pPr>
              <w:spacing w:after="0"/>
            </w:pPr>
            <w:r/>
            <w:r>
              <w:rPr>
                <w:b w:val="0"/>
                <w:sz w:val="19"/>
              </w:rPr>
              <w:t>TCB Core Banking</w:t>
            </w:r>
          </w:p>
        </w:tc>
        <w:tc>
          <w:tcPr>
            <w:tcW w:type="dxa" w:w="2721"/>
            <w:vAlign w:val="center"/>
          </w:tcPr>
          <w:p>
            <w:pPr>
              <w:spacing w:after="0"/>
            </w:pPr>
            <w:r/>
            <w:r>
              <w:rPr>
                <w:b w:val="0"/>
                <w:sz w:val="19"/>
              </w:rPr>
              <w:t>System of record for accounts and money</w:t>
            </w:r>
          </w:p>
        </w:tc>
        <w:tc>
          <w:tcPr>
            <w:tcW w:type="dxa" w:w="4082"/>
            <w:vAlign w:val="center"/>
          </w:tcPr>
          <w:p>
            <w:pPr>
              <w:spacing w:after="0"/>
            </w:pPr>
            <w:r/>
            <w:r>
              <w:rPr>
                <w:b w:val="0"/>
                <w:sz w:val="19"/>
              </w:rPr>
              <w:t>Customer lookup, account opening, holds, debits, credits, GL postings</w:t>
            </w:r>
          </w:p>
        </w:tc>
      </w:tr>
      <w:tr>
        <w:tc>
          <w:tcPr>
            <w:tcW w:type="dxa" w:w="2608"/>
            <w:vAlign w:val="center"/>
            <w:shd w:val="clear" w:color="auto" w:fill="F2F2F2"/>
          </w:tcPr>
          <w:p>
            <w:pPr>
              <w:spacing w:after="0"/>
            </w:pPr>
            <w:r/>
            <w:r>
              <w:rPr>
                <w:b w:val="0"/>
                <w:sz w:val="19"/>
              </w:rPr>
              <w:t>Other banks / primary dealers (future)</w:t>
            </w:r>
          </w:p>
        </w:tc>
        <w:tc>
          <w:tcPr>
            <w:tcW w:type="dxa" w:w="2721"/>
            <w:vAlign w:val="center"/>
            <w:shd w:val="clear" w:color="auto" w:fill="F2F2F2"/>
          </w:tcPr>
          <w:p>
            <w:pPr>
              <w:spacing w:after="0"/>
            </w:pPr>
            <w:r/>
            <w:r>
              <w:rPr>
                <w:b w:val="0"/>
                <w:sz w:val="19"/>
              </w:rPr>
              <w:t>Participants and access points</w:t>
            </w:r>
          </w:p>
        </w:tc>
        <w:tc>
          <w:tcPr>
            <w:tcW w:type="dxa" w:w="4082"/>
            <w:vAlign w:val="center"/>
            <w:shd w:val="clear" w:color="auto" w:fill="F2F2F2"/>
          </w:tcPr>
          <w:p>
            <w:pPr>
              <w:spacing w:after="0"/>
            </w:pPr>
            <w:r/>
            <w:r>
              <w:rPr>
                <w:b w:val="0"/>
                <w:sz w:val="19"/>
              </w:rPr>
              <w:t>Partner APIs; interbank settlement counterparties</w:t>
            </w:r>
          </w:p>
        </w:tc>
      </w:tr>
    </w:tbl>
    <w:p>
      <w:pPr>
        <w:spacing w:after="40"/>
      </w:pPr>
    </w:p>
    <w:p>
      <w:pPr>
        <w:pStyle w:val="Heading1"/>
      </w:pPr>
      <w:r>
        <w:t>3. Architecture Principles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154"/>
        <w:gridCol w:w="3175"/>
        <w:gridCol w:w="4082"/>
      </w:tblGrid>
      <w:tr>
        <w:trPr>
          <w:tblHeader w:val="true"/>
        </w:trPr>
        <w:tc>
          <w:tcPr>
            <w:tcW w:type="dxa" w:w="2154"/>
            <w:vAlign w:val="center"/>
            <w:shd w:val="clear" w:color="auto" w:fill="1F3864"/>
          </w:tcPr>
          <w:p>
            <w:pPr>
              <w:spacing w:after="0"/>
            </w:pPr>
            <w:r/>
            <w:r>
              <w:rPr>
                <w:b/>
                <w:color w:val="FFFFFF"/>
                <w:sz w:val="19"/>
              </w:rPr>
              <w:t>Principle</w:t>
            </w:r>
          </w:p>
        </w:tc>
        <w:tc>
          <w:tcPr>
            <w:tcW w:type="dxa" w:w="3175"/>
            <w:vAlign w:val="center"/>
            <w:shd w:val="clear" w:color="auto" w:fill="1F3864"/>
          </w:tcPr>
          <w:p>
            <w:pPr>
              <w:spacing w:after="0"/>
            </w:pPr>
            <w:r/>
            <w:r>
              <w:rPr>
                <w:b/>
                <w:color w:val="FFFFFF"/>
                <w:sz w:val="19"/>
              </w:rPr>
              <w:t>Rationale</w:t>
            </w:r>
          </w:p>
        </w:tc>
        <w:tc>
          <w:tcPr>
            <w:tcW w:type="dxa" w:w="4082"/>
            <w:vAlign w:val="center"/>
            <w:shd w:val="clear" w:color="auto" w:fill="1F3864"/>
          </w:tcPr>
          <w:p>
            <w:pPr>
              <w:spacing w:after="0"/>
            </w:pPr>
            <w:r/>
            <w:r>
              <w:rPr>
                <w:b/>
                <w:color w:val="FFFFFF"/>
                <w:sz w:val="19"/>
              </w:rPr>
              <w:t>Implication</w:t>
            </w:r>
          </w:p>
        </w:tc>
      </w:tr>
      <w:tr>
        <w:tc>
          <w:tcPr>
            <w:tcW w:type="dxa" w:w="2154"/>
            <w:vAlign w:val="center"/>
          </w:tcPr>
          <w:p>
            <w:pPr>
              <w:spacing w:after="0"/>
            </w:pPr>
            <w:r/>
            <w:r>
              <w:rPr>
                <w:b w:val="0"/>
                <w:sz w:val="19"/>
              </w:rPr>
              <w:t>API-first, channel-agnostic</w:t>
            </w:r>
          </w:p>
        </w:tc>
        <w:tc>
          <w:tcPr>
            <w:tcW w:type="dxa" w:w="3175"/>
            <w:vAlign w:val="center"/>
          </w:tcPr>
          <w:p>
            <w:pPr>
              <w:spacing w:after="0"/>
            </w:pPr>
            <w:r/>
            <w:r>
              <w:rPr>
                <w:b w:val="0"/>
                <w:sz w:val="19"/>
              </w:rPr>
              <w:t>Four investor channels plus staff and BoT portals must behave identically</w:t>
            </w:r>
          </w:p>
        </w:tc>
        <w:tc>
          <w:tcPr>
            <w:tcW w:type="dxa" w:w="4082"/>
            <w:vAlign w:val="center"/>
          </w:tcPr>
          <w:p>
            <w:pPr>
              <w:spacing w:after="0"/>
            </w:pPr>
            <w:r/>
            <w:r>
              <w:rPr>
                <w:b w:val="0"/>
                <w:sz w:val="19"/>
              </w:rPr>
              <w:t>All logic lives in core services behind versioned REST APIs. Channels are thin presentation layers.</w:t>
            </w:r>
          </w:p>
        </w:tc>
      </w:tr>
      <w:tr>
        <w:tc>
          <w:tcPr>
            <w:tcW w:type="dxa" w:w="2154"/>
            <w:vAlign w:val="center"/>
            <w:shd w:val="clear" w:color="auto" w:fill="F2F2F2"/>
          </w:tcPr>
          <w:p>
            <w:pPr>
              <w:spacing w:after="0"/>
            </w:pPr>
            <w:r/>
            <w:r>
              <w:rPr>
                <w:b w:val="0"/>
                <w:sz w:val="19"/>
              </w:rPr>
              <w:t>Regulatory fidelity</w:t>
            </w:r>
          </w:p>
        </w:tc>
        <w:tc>
          <w:tcPr>
            <w:tcW w:type="dxa" w:w="3175"/>
            <w:vAlign w:val="center"/>
            <w:shd w:val="clear" w:color="auto" w:fill="F2F2F2"/>
          </w:tcPr>
          <w:p>
            <w:pPr>
              <w:spacing w:after="0"/>
            </w:pPr>
            <w:r/>
            <w:r>
              <w:rPr>
                <w:b w:val="0"/>
                <w:sz w:val="19"/>
              </w:rPr>
              <w:t>BoT is the auction authority and CDS is the golden source of holdings</w:t>
            </w:r>
          </w:p>
        </w:tc>
        <w:tc>
          <w:tcPr>
            <w:tcW w:type="dxa" w:w="4082"/>
            <w:vAlign w:val="center"/>
            <w:shd w:val="clear" w:color="auto" w:fill="F2F2F2"/>
          </w:tcPr>
          <w:p>
            <w:pPr>
              <w:spacing w:after="0"/>
            </w:pPr>
            <w:r/>
            <w:r>
              <w:rPr>
                <w:b w:val="0"/>
                <w:sz w:val="19"/>
              </w:rPr>
              <w:t>BoT auction rules are configuration, not code. Holdings are always reconciled to CDS.</w:t>
            </w:r>
          </w:p>
        </w:tc>
      </w:tr>
      <w:tr>
        <w:tc>
          <w:tcPr>
            <w:tcW w:type="dxa" w:w="2154"/>
            <w:vAlign w:val="center"/>
          </w:tcPr>
          <w:p>
            <w:pPr>
              <w:spacing w:after="0"/>
            </w:pPr>
            <w:r/>
            <w:r>
              <w:rPr>
                <w:b w:val="0"/>
                <w:sz w:val="19"/>
              </w:rPr>
              <w:t>Money-safe by design</w:t>
            </w:r>
          </w:p>
        </w:tc>
        <w:tc>
          <w:tcPr>
            <w:tcW w:type="dxa" w:w="3175"/>
            <w:vAlign w:val="center"/>
          </w:tcPr>
          <w:p>
            <w:pPr>
              <w:spacing w:after="0"/>
            </w:pPr>
            <w:r/>
            <w:r>
              <w:rPr>
                <w:b w:val="0"/>
                <w:sz w:val="19"/>
              </w:rPr>
              <w:t>Settlement failures erode trust and create operational risk</w:t>
            </w:r>
          </w:p>
        </w:tc>
        <w:tc>
          <w:tcPr>
            <w:tcW w:type="dxa" w:w="4082"/>
            <w:vAlign w:val="center"/>
          </w:tcPr>
          <w:p>
            <w:pPr>
              <w:spacing w:after="0"/>
            </w:pPr>
            <w:r/>
            <w:r>
              <w:rPr>
                <w:b w:val="0"/>
                <w:sz w:val="19"/>
              </w:rPr>
              <w:t>Funds are held before a bid is accepted, operations are idempotent, the outbox pattern is used, and reconciliation runs daily and per auction.</w:t>
            </w:r>
          </w:p>
        </w:tc>
      </w:tr>
      <w:tr>
        <w:tc>
          <w:tcPr>
            <w:tcW w:type="dxa" w:w="2154"/>
            <w:vAlign w:val="center"/>
            <w:shd w:val="clear" w:color="auto" w:fill="F2F2F2"/>
          </w:tcPr>
          <w:p>
            <w:pPr>
              <w:spacing w:after="0"/>
            </w:pPr>
            <w:r/>
            <w:r>
              <w:rPr>
                <w:b w:val="0"/>
                <w:sz w:val="19"/>
              </w:rPr>
              <w:t>Secure and private by default</w:t>
            </w:r>
          </w:p>
        </w:tc>
        <w:tc>
          <w:tcPr>
            <w:tcW w:type="dxa" w:w="3175"/>
            <w:vAlign w:val="center"/>
            <w:shd w:val="clear" w:color="auto" w:fill="F2F2F2"/>
          </w:tcPr>
          <w:p>
            <w:pPr>
              <w:spacing w:after="0"/>
            </w:pPr>
            <w:r/>
            <w:r>
              <w:rPr>
                <w:b w:val="0"/>
                <w:sz w:val="19"/>
              </w:rPr>
              <w:t>Investor PII and financial data are regulated</w:t>
            </w:r>
          </w:p>
        </w:tc>
        <w:tc>
          <w:tcPr>
            <w:tcW w:type="dxa" w:w="4082"/>
            <w:vAlign w:val="center"/>
            <w:shd w:val="clear" w:color="auto" w:fill="F2F2F2"/>
          </w:tcPr>
          <w:p>
            <w:pPr>
              <w:spacing w:after="0"/>
            </w:pPr>
            <w:r/>
            <w:r>
              <w:rPr>
                <w:b w:val="0"/>
                <w:sz w:val="19"/>
              </w:rPr>
              <w:t>Zero-trust network zones, encryption everywhere, least privilege, and data minimisation per the DPPA.</w:t>
            </w:r>
          </w:p>
        </w:tc>
      </w:tr>
      <w:tr>
        <w:tc>
          <w:tcPr>
            <w:tcW w:type="dxa" w:w="2154"/>
            <w:vAlign w:val="center"/>
          </w:tcPr>
          <w:p>
            <w:pPr>
              <w:spacing w:after="0"/>
            </w:pPr>
            <w:r/>
            <w:r>
              <w:rPr>
                <w:b w:val="0"/>
                <w:sz w:val="19"/>
              </w:rPr>
              <w:t>Loose coupling</w:t>
            </w:r>
          </w:p>
        </w:tc>
        <w:tc>
          <w:tcPr>
            <w:tcW w:type="dxa" w:w="3175"/>
            <w:vAlign w:val="center"/>
          </w:tcPr>
          <w:p>
            <w:pPr>
              <w:spacing w:after="0"/>
            </w:pPr>
            <w:r/>
            <w:r>
              <w:rPr>
                <w:b w:val="0"/>
                <w:sz w:val="19"/>
              </w:rPr>
              <w:t>BoT and CBS interfaces may evolve</w:t>
            </w:r>
          </w:p>
        </w:tc>
        <w:tc>
          <w:tcPr>
            <w:tcW w:type="dxa" w:w="4082"/>
            <w:vAlign w:val="center"/>
          </w:tcPr>
          <w:p>
            <w:pPr>
              <w:spacing w:after="0"/>
            </w:pPr>
            <w:r/>
            <w:r>
              <w:rPr>
                <w:b w:val="0"/>
                <w:sz w:val="19"/>
              </w:rPr>
              <w:t>Anti-corruption adapters per external system, with contract tests.</w:t>
            </w:r>
          </w:p>
        </w:tc>
      </w:tr>
      <w:tr>
        <w:tc>
          <w:tcPr>
            <w:tcW w:type="dxa" w:w="2154"/>
            <w:vAlign w:val="center"/>
            <w:shd w:val="clear" w:color="auto" w:fill="F2F2F2"/>
          </w:tcPr>
          <w:p>
            <w:pPr>
              <w:spacing w:after="0"/>
            </w:pPr>
            <w:r/>
            <w:r>
              <w:rPr>
                <w:b w:val="0"/>
                <w:sz w:val="19"/>
              </w:rPr>
              <w:t>Observable and auditable</w:t>
            </w:r>
          </w:p>
        </w:tc>
        <w:tc>
          <w:tcPr>
            <w:tcW w:type="dxa" w:w="3175"/>
            <w:vAlign w:val="center"/>
            <w:shd w:val="clear" w:color="auto" w:fill="F2F2F2"/>
          </w:tcPr>
          <w:p>
            <w:pPr>
              <w:spacing w:after="0"/>
            </w:pPr>
            <w:r/>
            <w:r>
              <w:rPr>
                <w:b w:val="0"/>
                <w:sz w:val="19"/>
              </w:rPr>
              <w:t>Oversight and dispute resolution</w:t>
            </w:r>
          </w:p>
        </w:tc>
        <w:tc>
          <w:tcPr>
            <w:tcW w:type="dxa" w:w="4082"/>
            <w:vAlign w:val="center"/>
            <w:shd w:val="clear" w:color="auto" w:fill="F2F2F2"/>
          </w:tcPr>
          <w:p>
            <w:pPr>
              <w:spacing w:after="0"/>
            </w:pPr>
            <w:r/>
            <w:r>
              <w:rPr>
                <w:b w:val="0"/>
                <w:sz w:val="19"/>
              </w:rPr>
              <w:t>Correlation IDs end to end, structured logs, metrics, traces, and an immutable audit log.</w:t>
            </w:r>
          </w:p>
        </w:tc>
      </w:tr>
      <w:tr>
        <w:tc>
          <w:tcPr>
            <w:tcW w:type="dxa" w:w="2154"/>
            <w:vAlign w:val="center"/>
          </w:tcPr>
          <w:p>
            <w:pPr>
              <w:spacing w:after="0"/>
            </w:pPr>
            <w:r/>
            <w:r>
              <w:rPr>
                <w:b w:val="0"/>
                <w:sz w:val="19"/>
              </w:rPr>
              <w:t>Elastic for auction peaks</w:t>
            </w:r>
          </w:p>
        </w:tc>
        <w:tc>
          <w:tcPr>
            <w:tcW w:type="dxa" w:w="3175"/>
            <w:vAlign w:val="center"/>
          </w:tcPr>
          <w:p>
            <w:pPr>
              <w:spacing w:after="0"/>
            </w:pPr>
            <w:r/>
            <w:r>
              <w:rPr>
                <w:b w:val="0"/>
                <w:sz w:val="19"/>
              </w:rPr>
              <w:t>Load concentrates in the hours before cut-off</w:t>
            </w:r>
          </w:p>
        </w:tc>
        <w:tc>
          <w:tcPr>
            <w:tcW w:type="dxa" w:w="4082"/>
            <w:vAlign w:val="center"/>
          </w:tcPr>
          <w:p>
            <w:pPr>
              <w:spacing w:after="0"/>
            </w:pPr>
            <w:r/>
            <w:r>
              <w:rPr>
                <w:b w:val="0"/>
                <w:sz w:val="19"/>
              </w:rPr>
              <w:t>Stateless, horizontally scalable services on Kubernetes with queue-based buffering.</w:t>
            </w:r>
          </w:p>
        </w:tc>
      </w:tr>
      <w:tr>
        <w:tc>
          <w:tcPr>
            <w:tcW w:type="dxa" w:w="2154"/>
            <w:vAlign w:val="center"/>
            <w:shd w:val="clear" w:color="auto" w:fill="F2F2F2"/>
          </w:tcPr>
          <w:p>
            <w:pPr>
              <w:spacing w:after="0"/>
            </w:pPr>
            <w:r/>
            <w:r>
              <w:rPr>
                <w:b w:val="0"/>
                <w:sz w:val="19"/>
              </w:rPr>
              <w:t>Prefer TCB standards</w:t>
            </w:r>
          </w:p>
        </w:tc>
        <w:tc>
          <w:tcPr>
            <w:tcW w:type="dxa" w:w="3175"/>
            <w:vAlign w:val="center"/>
            <w:shd w:val="clear" w:color="auto" w:fill="F2F2F2"/>
          </w:tcPr>
          <w:p>
            <w:pPr>
              <w:spacing w:after="0"/>
            </w:pPr>
            <w:r/>
            <w:r>
              <w:rPr>
                <w:b w:val="0"/>
                <w:sz w:val="19"/>
              </w:rPr>
              <w:t>Lower total cost and easier support</w:t>
            </w:r>
          </w:p>
        </w:tc>
        <w:tc>
          <w:tcPr>
            <w:tcW w:type="dxa" w:w="4082"/>
            <w:vAlign w:val="center"/>
            <w:shd w:val="clear" w:color="auto" w:fill="F2F2F2"/>
          </w:tcPr>
          <w:p>
            <w:pPr>
              <w:spacing w:after="0"/>
            </w:pPr>
            <w:r/>
            <w:r>
              <w:rPr>
                <w:b w:val="0"/>
                <w:sz w:val="19"/>
              </w:rPr>
              <w:t>Reuse TCB's API gateway, IAM, SIEM, HSM and database platforms where available.</w:t>
            </w:r>
          </w:p>
        </w:tc>
      </w:tr>
    </w:tbl>
    <w:p>
      <w:pPr>
        <w:spacing w:after="40"/>
      </w:pPr>
    </w:p>
    <w:p>
      <w:pPr>
        <w:pStyle w:val="Heading1"/>
      </w:pPr>
      <w:r>
        <w:t>4. Logical Architecture</w:t>
      </w:r>
    </w:p>
    <w:p>
      <w:pPr>
        <w:pStyle w:val="Heading2"/>
      </w:pPr>
      <w:r>
        <w:t>4.1 Layered View</w:t>
      </w:r>
    </w:p>
    <w:p>
      <w:r>
        <w:rPr>
          <w:i w:val="0"/>
        </w:rPr>
        <w:t>Figure 2 shows the platform's logical layers. Requests flow from the channel layer through the security edge to the core domain services. The core services use the integration layer to reach TCB and BoT systems, and all layers share the data and platform services.</w:t>
      </w:r>
    </w:p>
    <w:p>
      <w:pPr>
        <w:keepNext/>
        <w:jc w:val="center"/>
      </w:pPr>
      <w:r>
        <w:drawing>
          <wp:inline xmlns:a="http://schemas.openxmlformats.org/drawingml/2006/main" xmlns:pic="http://schemas.openxmlformats.org/drawingml/2006/picture">
            <wp:extent cx="5976000" cy="4445480"/>
            <wp:docPr id="2" name="Picture 2"/>
            <wp:cNvGraphicFramePr>
              <a:graphicFrameLocks noChangeAspect="1"/>
            </wp:cNvGraphicFramePr>
            <a:graphic>
              <a:graphicData uri="http://schemas.openxmlformats.org/drawingml/2006/picture">
                <pic:pic>
                  <pic:nvPicPr>
                    <pic:cNvPr id="0" name="02_logical.png"/>
                    <pic:cNvPicPr/>
                  </pic:nvPicPr>
                  <pic:blipFill>
                    <a:blip r:embed="rId12"/>
                    <a:stretch>
                      <a:fillRect/>
                    </a:stretch>
                  </pic:blipFill>
                  <pic:spPr>
                    <a:xfrm>
                      <a:off x="0" y="0"/>
                      <a:ext cx="5976000" cy="4445480"/>
                    </a:xfrm>
                    <a:prstGeom prst="rect"/>
                  </pic:spPr>
                </pic:pic>
              </a:graphicData>
            </a:graphic>
          </wp:inline>
        </w:drawing>
      </w:r>
    </w:p>
    <w:p>
      <w:pPr>
        <w:jc w:val="center"/>
      </w:pPr>
      <w:r>
        <w:rPr>
          <w:i/>
          <w:color w:val="595959"/>
          <w:sz w:val="18"/>
        </w:rPr>
        <w:t>Figure 2 – Logical layered architecture</w:t>
      </w:r>
    </w:p>
    <w:p>
      <w:pPr>
        <w:pStyle w:val="Heading2"/>
      </w:pPr>
      <w:r>
        <w:t>4.2 Core Domain Services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041"/>
        <w:gridCol w:w="4649"/>
        <w:gridCol w:w="2721"/>
      </w:tblGrid>
      <w:tr>
        <w:trPr>
          <w:tblHeader w:val="true"/>
        </w:trPr>
        <w:tc>
          <w:tcPr>
            <w:tcW w:type="dxa" w:w="2041"/>
            <w:vAlign w:val="center"/>
            <w:shd w:val="clear" w:color="auto" w:fill="1F3864"/>
          </w:tcPr>
          <w:p>
            <w:pPr>
              <w:spacing w:after="0"/>
            </w:pPr>
            <w:r/>
            <w:r>
              <w:rPr>
                <w:b/>
                <w:color w:val="FFFFFF"/>
                <w:sz w:val="19"/>
              </w:rPr>
              <w:t>Service</w:t>
            </w:r>
          </w:p>
        </w:tc>
        <w:tc>
          <w:tcPr>
            <w:tcW w:type="dxa" w:w="4649"/>
            <w:vAlign w:val="center"/>
            <w:shd w:val="clear" w:color="auto" w:fill="1F3864"/>
          </w:tcPr>
          <w:p>
            <w:pPr>
              <w:spacing w:after="0"/>
            </w:pPr>
            <w:r/>
            <w:r>
              <w:rPr>
                <w:b/>
                <w:color w:val="FFFFFF"/>
                <w:sz w:val="19"/>
              </w:rPr>
              <w:t>Responsibilities</w:t>
            </w:r>
          </w:p>
        </w:tc>
        <w:tc>
          <w:tcPr>
            <w:tcW w:type="dxa" w:w="2721"/>
            <w:vAlign w:val="center"/>
            <w:shd w:val="clear" w:color="auto" w:fill="1F3864"/>
          </w:tcPr>
          <w:p>
            <w:pPr>
              <w:spacing w:after="0"/>
            </w:pPr>
            <w:r/>
            <w:r>
              <w:rPr>
                <w:b/>
                <w:color w:val="FFFFFF"/>
                <w:sz w:val="19"/>
              </w:rPr>
              <w:t>Key data owned</w:t>
            </w:r>
          </w:p>
        </w:tc>
      </w:tr>
      <w:tr>
        <w:tc>
          <w:tcPr>
            <w:tcW w:type="dxa" w:w="2041"/>
            <w:vAlign w:val="center"/>
          </w:tcPr>
          <w:p>
            <w:pPr>
              <w:spacing w:after="0"/>
            </w:pPr>
            <w:r/>
            <w:r>
              <w:rPr>
                <w:b w:val="0"/>
                <w:sz w:val="19"/>
              </w:rPr>
              <w:t>Investor &amp; KYC</w:t>
            </w:r>
          </w:p>
        </w:tc>
        <w:tc>
          <w:tcPr>
            <w:tcW w:type="dxa" w:w="4649"/>
            <w:vAlign w:val="center"/>
          </w:tcPr>
          <w:p>
            <w:pPr>
              <w:spacing w:after="0"/>
            </w:pPr>
            <w:r/>
            <w:r>
              <w:rPr>
                <w:b w:val="0"/>
                <w:sz w:val="19"/>
              </w:rPr>
              <w:t>Registration, NIDA/TIN/BRELA verification, risk rating, AML/PEP/sanctions screening, KYC refresh, consent capture</w:t>
            </w:r>
          </w:p>
        </w:tc>
        <w:tc>
          <w:tcPr>
            <w:tcW w:type="dxa" w:w="2721"/>
            <w:vAlign w:val="center"/>
          </w:tcPr>
          <w:p>
            <w:pPr>
              <w:spacing w:after="0"/>
            </w:pPr>
            <w:r/>
            <w:r>
              <w:rPr>
                <w:b w:val="0"/>
                <w:sz w:val="19"/>
              </w:rPr>
              <w:t>Investor profile, KYC documents, risk score, consents</w:t>
            </w:r>
          </w:p>
        </w:tc>
      </w:tr>
      <w:tr>
        <w:tc>
          <w:tcPr>
            <w:tcW w:type="dxa" w:w="2041"/>
            <w:vAlign w:val="center"/>
            <w:shd w:val="clear" w:color="auto" w:fill="F2F2F2"/>
          </w:tcPr>
          <w:p>
            <w:pPr>
              <w:spacing w:after="0"/>
            </w:pPr>
            <w:r/>
            <w:r>
              <w:rPr>
                <w:b w:val="0"/>
                <w:sz w:val="19"/>
              </w:rPr>
              <w:t>CDS Account Management</w:t>
            </w:r>
          </w:p>
        </w:tc>
        <w:tc>
          <w:tcPr>
            <w:tcW w:type="dxa" w:w="4649"/>
            <w:vAlign w:val="center"/>
            <w:shd w:val="clear" w:color="auto" w:fill="F2F2F2"/>
          </w:tcPr>
          <w:p>
            <w:pPr>
              <w:spacing w:after="0"/>
            </w:pPr>
            <w:r/>
            <w:r>
              <w:rPr>
                <w:b w:val="0"/>
                <w:sz w:val="19"/>
              </w:rPr>
              <w:t>Initiate CDS account opening with BoT, track status, link CDS number to TCB settlement account, handle amendments</w:t>
            </w:r>
          </w:p>
        </w:tc>
        <w:tc>
          <w:tcPr>
            <w:tcW w:type="dxa" w:w="2721"/>
            <w:vAlign w:val="center"/>
            <w:shd w:val="clear" w:color="auto" w:fill="F2F2F2"/>
          </w:tcPr>
          <w:p>
            <w:pPr>
              <w:spacing w:after="0"/>
            </w:pPr>
            <w:r/>
            <w:r>
              <w:rPr>
                <w:b w:val="0"/>
                <w:sz w:val="19"/>
              </w:rPr>
              <w:t>CDS account number, status, linked accounts</w:t>
            </w:r>
          </w:p>
        </w:tc>
      </w:tr>
      <w:tr>
        <w:tc>
          <w:tcPr>
            <w:tcW w:type="dxa" w:w="2041"/>
            <w:vAlign w:val="center"/>
          </w:tcPr>
          <w:p>
            <w:pPr>
              <w:spacing w:after="0"/>
            </w:pPr>
            <w:r/>
            <w:r>
              <w:rPr>
                <w:b w:val="0"/>
                <w:sz w:val="19"/>
              </w:rPr>
              <w:t>Auction Catalogue</w:t>
            </w:r>
          </w:p>
        </w:tc>
        <w:tc>
          <w:tcPr>
            <w:tcW w:type="dxa" w:w="4649"/>
            <w:vAlign w:val="center"/>
          </w:tcPr>
          <w:p>
            <w:pPr>
              <w:spacing w:after="0"/>
            </w:pPr>
            <w:r/>
            <w:r>
              <w:rPr>
                <w:b w:val="0"/>
                <w:sz w:val="19"/>
              </w:rPr>
              <w:t>Import BoT auction calendar and notices; publish security details, cut-off times, minimum amounts and tenors</w:t>
            </w:r>
          </w:p>
        </w:tc>
        <w:tc>
          <w:tcPr>
            <w:tcW w:type="dxa" w:w="2721"/>
            <w:vAlign w:val="center"/>
          </w:tcPr>
          <w:p>
            <w:pPr>
              <w:spacing w:after="0"/>
            </w:pPr>
            <w:r/>
            <w:r>
              <w:rPr>
                <w:b w:val="0"/>
                <w:sz w:val="19"/>
              </w:rPr>
              <w:t>Auctions, securities (ISIN), calendars</w:t>
            </w:r>
          </w:p>
        </w:tc>
      </w:tr>
      <w:tr>
        <w:tc>
          <w:tcPr>
            <w:tcW w:type="dxa" w:w="2041"/>
            <w:vAlign w:val="center"/>
            <w:shd w:val="clear" w:color="auto" w:fill="F2F2F2"/>
          </w:tcPr>
          <w:p>
            <w:pPr>
              <w:spacing w:after="0"/>
            </w:pPr>
            <w:r/>
            <w:r>
              <w:rPr>
                <w:b w:val="0"/>
                <w:sz w:val="19"/>
              </w:rPr>
              <w:t>Bidding &amp; Order Management</w:t>
            </w:r>
          </w:p>
        </w:tc>
        <w:tc>
          <w:tcPr>
            <w:tcW w:type="dxa" w:w="4649"/>
            <w:vAlign w:val="center"/>
            <w:shd w:val="clear" w:color="auto" w:fill="F2F2F2"/>
          </w:tcPr>
          <w:p>
            <w:pPr>
              <w:spacing w:after="0"/>
            </w:pPr>
            <w:r/>
            <w:r>
              <w:rPr>
                <w:b w:val="0"/>
                <w:sz w:val="19"/>
              </w:rPr>
              <w:t>Capture competitive/non-competitive bids, validate against rules, place funds hold, allow amend/cancel before cut-off, consolidate and submit</w:t>
            </w:r>
          </w:p>
        </w:tc>
        <w:tc>
          <w:tcPr>
            <w:tcW w:type="dxa" w:w="2721"/>
            <w:vAlign w:val="center"/>
            <w:shd w:val="clear" w:color="auto" w:fill="F2F2F2"/>
          </w:tcPr>
          <w:p>
            <w:pPr>
              <w:spacing w:after="0"/>
            </w:pPr>
            <w:r/>
            <w:r>
              <w:rPr>
                <w:b w:val="0"/>
                <w:sz w:val="19"/>
              </w:rPr>
              <w:t>Bids, bid states, consolidated submissions</w:t>
            </w:r>
          </w:p>
        </w:tc>
      </w:tr>
      <w:tr>
        <w:tc>
          <w:tcPr>
            <w:tcW w:type="dxa" w:w="2041"/>
            <w:vAlign w:val="center"/>
          </w:tcPr>
          <w:p>
            <w:pPr>
              <w:spacing w:after="0"/>
            </w:pPr>
            <w:r/>
            <w:r>
              <w:rPr>
                <w:b w:val="0"/>
                <w:sz w:val="19"/>
              </w:rPr>
              <w:t>Allocation &amp; Results</w:t>
            </w:r>
          </w:p>
        </w:tc>
        <w:tc>
          <w:tcPr>
            <w:tcW w:type="dxa" w:w="4649"/>
            <w:vAlign w:val="center"/>
          </w:tcPr>
          <w:p>
            <w:pPr>
              <w:spacing w:after="0"/>
            </w:pPr>
            <w:r/>
            <w:r>
              <w:rPr>
                <w:b w:val="0"/>
                <w:sz w:val="19"/>
              </w:rPr>
              <w:t>Ingest BoT results, apply allocation (full/partial/pro-rata), compute settlement amounts, trigger notifications</w:t>
            </w:r>
          </w:p>
        </w:tc>
        <w:tc>
          <w:tcPr>
            <w:tcW w:type="dxa" w:w="2721"/>
            <w:vAlign w:val="center"/>
          </w:tcPr>
          <w:p>
            <w:pPr>
              <w:spacing w:after="0"/>
            </w:pPr>
            <w:r/>
            <w:r>
              <w:rPr>
                <w:b w:val="0"/>
                <w:sz w:val="19"/>
              </w:rPr>
              <w:t>Results, allocations, weighted average prices/yields</w:t>
            </w:r>
          </w:p>
        </w:tc>
      </w:tr>
      <w:tr>
        <w:tc>
          <w:tcPr>
            <w:tcW w:type="dxa" w:w="2041"/>
            <w:vAlign w:val="center"/>
            <w:shd w:val="clear" w:color="auto" w:fill="F2F2F2"/>
          </w:tcPr>
          <w:p>
            <w:pPr>
              <w:spacing w:after="0"/>
            </w:pPr>
            <w:r/>
            <w:r>
              <w:rPr>
                <w:b w:val="0"/>
                <w:sz w:val="19"/>
              </w:rPr>
              <w:t>Payments &amp; Settlement</w:t>
            </w:r>
          </w:p>
        </w:tc>
        <w:tc>
          <w:tcPr>
            <w:tcW w:type="dxa" w:w="4649"/>
            <w:vAlign w:val="center"/>
            <w:shd w:val="clear" w:color="auto" w:fill="F2F2F2"/>
          </w:tcPr>
          <w:p>
            <w:pPr>
              <w:spacing w:after="0"/>
            </w:pPr>
            <w:r/>
            <w:r>
              <w:rPr>
                <w:b w:val="0"/>
                <w:sz w:val="19"/>
              </w:rPr>
              <w:t>Convert holds to debits, release unallocated funds, post GLs, interbank settlement to BoT, confirm CDS credit</w:t>
            </w:r>
          </w:p>
        </w:tc>
        <w:tc>
          <w:tcPr>
            <w:tcW w:type="dxa" w:w="2721"/>
            <w:vAlign w:val="center"/>
            <w:shd w:val="clear" w:color="auto" w:fill="F2F2F2"/>
          </w:tcPr>
          <w:p>
            <w:pPr>
              <w:spacing w:after="0"/>
            </w:pPr>
            <w:r/>
            <w:r>
              <w:rPr>
                <w:b w:val="0"/>
                <w:sz w:val="19"/>
              </w:rPr>
              <w:t>Payment instructions, settlement status, GL postings</w:t>
            </w:r>
          </w:p>
        </w:tc>
      </w:tr>
      <w:tr>
        <w:tc>
          <w:tcPr>
            <w:tcW w:type="dxa" w:w="2041"/>
            <w:vAlign w:val="center"/>
          </w:tcPr>
          <w:p>
            <w:pPr>
              <w:spacing w:after="0"/>
            </w:pPr>
            <w:r/>
            <w:r>
              <w:rPr>
                <w:b w:val="0"/>
                <w:sz w:val="19"/>
              </w:rPr>
              <w:t>Holdings &amp; Portfolio</w:t>
            </w:r>
          </w:p>
        </w:tc>
        <w:tc>
          <w:tcPr>
            <w:tcW w:type="dxa" w:w="4649"/>
            <w:vAlign w:val="center"/>
          </w:tcPr>
          <w:p>
            <w:pPr>
              <w:spacing w:after="0"/>
            </w:pPr>
            <w:r/>
            <w:r>
              <w:rPr>
                <w:b w:val="0"/>
                <w:sz w:val="19"/>
              </w:rPr>
              <w:t>Mirror CDS holdings, valuations, statements, investment certificates</w:t>
            </w:r>
          </w:p>
        </w:tc>
        <w:tc>
          <w:tcPr>
            <w:tcW w:type="dxa" w:w="2721"/>
            <w:vAlign w:val="center"/>
          </w:tcPr>
          <w:p>
            <w:pPr>
              <w:spacing w:after="0"/>
            </w:pPr>
            <w:r/>
            <w:r>
              <w:rPr>
                <w:b w:val="0"/>
                <w:sz w:val="19"/>
              </w:rPr>
              <w:t>Positions, statements</w:t>
            </w:r>
          </w:p>
        </w:tc>
      </w:tr>
      <w:tr>
        <w:tc>
          <w:tcPr>
            <w:tcW w:type="dxa" w:w="2041"/>
            <w:vAlign w:val="center"/>
            <w:shd w:val="clear" w:color="auto" w:fill="F2F2F2"/>
          </w:tcPr>
          <w:p>
            <w:pPr>
              <w:spacing w:after="0"/>
            </w:pPr>
            <w:r/>
            <w:r>
              <w:rPr>
                <w:b w:val="0"/>
                <w:sz w:val="19"/>
              </w:rPr>
              <w:t>Coupons &amp; Redemptions</w:t>
            </w:r>
          </w:p>
        </w:tc>
        <w:tc>
          <w:tcPr>
            <w:tcW w:type="dxa" w:w="4649"/>
            <w:vAlign w:val="center"/>
            <w:shd w:val="clear" w:color="auto" w:fill="F2F2F2"/>
          </w:tcPr>
          <w:p>
            <w:pPr>
              <w:spacing w:after="0"/>
            </w:pPr>
            <w:r/>
            <w:r>
              <w:rPr>
                <w:b w:val="0"/>
                <w:sz w:val="19"/>
              </w:rPr>
              <w:t>Coupon schedules, maturity proceeds, auto-credit to CBS accounts, optional rollover instructions</w:t>
            </w:r>
          </w:p>
        </w:tc>
        <w:tc>
          <w:tcPr>
            <w:tcW w:type="dxa" w:w="2721"/>
            <w:vAlign w:val="center"/>
            <w:shd w:val="clear" w:color="auto" w:fill="F2F2F2"/>
          </w:tcPr>
          <w:p>
            <w:pPr>
              <w:spacing w:after="0"/>
            </w:pPr>
            <w:r/>
            <w:r>
              <w:rPr>
                <w:b w:val="0"/>
                <w:sz w:val="19"/>
              </w:rPr>
              <w:t>Cash-flow schedules, payouts</w:t>
            </w:r>
          </w:p>
        </w:tc>
      </w:tr>
      <w:tr>
        <w:tc>
          <w:tcPr>
            <w:tcW w:type="dxa" w:w="2041"/>
            <w:vAlign w:val="center"/>
          </w:tcPr>
          <w:p>
            <w:pPr>
              <w:spacing w:after="0"/>
            </w:pPr>
            <w:r/>
            <w:r>
              <w:rPr>
                <w:b w:val="0"/>
                <w:sz w:val="19"/>
              </w:rPr>
              <w:t>Fees &amp; Charges</w:t>
            </w:r>
          </w:p>
        </w:tc>
        <w:tc>
          <w:tcPr>
            <w:tcW w:type="dxa" w:w="4649"/>
            <w:vAlign w:val="center"/>
          </w:tcPr>
          <w:p>
            <w:pPr>
              <w:spacing w:after="0"/>
            </w:pPr>
            <w:r/>
            <w:r>
              <w:rPr>
                <w:b w:val="0"/>
                <w:sz w:val="19"/>
              </w:rPr>
              <w:t>Configurable commission, CDS and channel fees; tax (WHT where applicable)</w:t>
            </w:r>
          </w:p>
        </w:tc>
        <w:tc>
          <w:tcPr>
            <w:tcW w:type="dxa" w:w="2721"/>
            <w:vAlign w:val="center"/>
          </w:tcPr>
          <w:p>
            <w:pPr>
              <w:spacing w:after="0"/>
            </w:pPr>
            <w:r/>
            <w:r>
              <w:rPr>
                <w:b w:val="0"/>
                <w:sz w:val="19"/>
              </w:rPr>
              <w:t>Fee schedules, charge records</w:t>
            </w:r>
          </w:p>
        </w:tc>
      </w:tr>
      <w:tr>
        <w:tc>
          <w:tcPr>
            <w:tcW w:type="dxa" w:w="2041"/>
            <w:vAlign w:val="center"/>
            <w:shd w:val="clear" w:color="auto" w:fill="F2F2F2"/>
          </w:tcPr>
          <w:p>
            <w:pPr>
              <w:spacing w:after="0"/>
            </w:pPr>
            <w:r/>
            <w:r>
              <w:rPr>
                <w:b w:val="0"/>
                <w:sz w:val="19"/>
              </w:rPr>
              <w:t>Notifications</w:t>
            </w:r>
          </w:p>
        </w:tc>
        <w:tc>
          <w:tcPr>
            <w:tcW w:type="dxa" w:w="4649"/>
            <w:vAlign w:val="center"/>
            <w:shd w:val="clear" w:color="auto" w:fill="F2F2F2"/>
          </w:tcPr>
          <w:p>
            <w:pPr>
              <w:spacing w:after="0"/>
            </w:pPr>
            <w:r/>
            <w:r>
              <w:rPr>
                <w:b w:val="0"/>
                <w:sz w:val="19"/>
              </w:rPr>
              <w:t>Omni-channel messages (SMS, email, push, WhatsApp) from templates in Kiswahili and English</w:t>
            </w:r>
          </w:p>
        </w:tc>
        <w:tc>
          <w:tcPr>
            <w:tcW w:type="dxa" w:w="2721"/>
            <w:vAlign w:val="center"/>
            <w:shd w:val="clear" w:color="auto" w:fill="F2F2F2"/>
          </w:tcPr>
          <w:p>
            <w:pPr>
              <w:spacing w:after="0"/>
            </w:pPr>
            <w:r/>
            <w:r>
              <w:rPr>
                <w:b w:val="0"/>
                <w:sz w:val="19"/>
              </w:rPr>
              <w:t>Templates, delivery logs</w:t>
            </w:r>
          </w:p>
        </w:tc>
      </w:tr>
      <w:tr>
        <w:tc>
          <w:tcPr>
            <w:tcW w:type="dxa" w:w="2041"/>
            <w:vAlign w:val="center"/>
          </w:tcPr>
          <w:p>
            <w:pPr>
              <w:spacing w:after="0"/>
            </w:pPr>
            <w:r/>
            <w:r>
              <w:rPr>
                <w:b w:val="0"/>
                <w:sz w:val="19"/>
              </w:rPr>
              <w:t>Rules &amp; Workflow Engine</w:t>
            </w:r>
          </w:p>
        </w:tc>
        <w:tc>
          <w:tcPr>
            <w:tcW w:type="dxa" w:w="4649"/>
            <w:vAlign w:val="center"/>
          </w:tcPr>
          <w:p>
            <w:pPr>
              <w:spacing w:after="0"/>
            </w:pPr>
            <w:r/>
            <w:r>
              <w:rPr>
                <w:b w:val="0"/>
                <w:sz w:val="19"/>
              </w:rPr>
              <w:t>BoT auction rules, limits, cut-offs, maker-checker approvals, long-running process orchestration</w:t>
            </w:r>
          </w:p>
        </w:tc>
        <w:tc>
          <w:tcPr>
            <w:tcW w:type="dxa" w:w="2721"/>
            <w:vAlign w:val="center"/>
          </w:tcPr>
          <w:p>
            <w:pPr>
              <w:spacing w:after="0"/>
            </w:pPr>
            <w:r/>
            <w:r>
              <w:rPr>
                <w:b w:val="0"/>
                <w:sz w:val="19"/>
              </w:rPr>
              <w:t>Rule sets, workflow instances</w:t>
            </w:r>
          </w:p>
        </w:tc>
      </w:tr>
      <w:tr>
        <w:tc>
          <w:tcPr>
            <w:tcW w:type="dxa" w:w="2041"/>
            <w:vAlign w:val="center"/>
            <w:shd w:val="clear" w:color="auto" w:fill="F2F2F2"/>
          </w:tcPr>
          <w:p>
            <w:pPr>
              <w:spacing w:after="0"/>
            </w:pPr>
            <w:r/>
            <w:r>
              <w:rPr>
                <w:b w:val="0"/>
                <w:sz w:val="19"/>
              </w:rPr>
              <w:t>Audit &amp; Compliance</w:t>
            </w:r>
          </w:p>
        </w:tc>
        <w:tc>
          <w:tcPr>
            <w:tcW w:type="dxa" w:w="4649"/>
            <w:vAlign w:val="center"/>
            <w:shd w:val="clear" w:color="auto" w:fill="F2F2F2"/>
          </w:tcPr>
          <w:p>
            <w:pPr>
              <w:spacing w:after="0"/>
            </w:pPr>
            <w:r/>
            <w:r>
              <w:rPr>
                <w:b w:val="0"/>
                <w:sz w:val="19"/>
              </w:rPr>
              <w:t>Tamper-evident audit trail, regulatory reports, STR/CTR hooks to the AML system</w:t>
            </w:r>
          </w:p>
        </w:tc>
        <w:tc>
          <w:tcPr>
            <w:tcW w:type="dxa" w:w="2721"/>
            <w:vAlign w:val="center"/>
            <w:shd w:val="clear" w:color="auto" w:fill="F2F2F2"/>
          </w:tcPr>
          <w:p>
            <w:pPr>
              <w:spacing w:after="0"/>
            </w:pPr>
            <w:r/>
            <w:r>
              <w:rPr>
                <w:b w:val="0"/>
                <w:sz w:val="19"/>
              </w:rPr>
              <w:t>Audit events (hash-chained)</w:t>
            </w:r>
          </w:p>
        </w:tc>
      </w:tr>
    </w:tbl>
    <w:p>
      <w:pPr>
        <w:spacing w:after="40"/>
      </w:pPr>
    </w:p>
    <w:p>
      <w:pPr>
        <w:pStyle w:val="Heading2"/>
      </w:pPr>
      <w:r>
        <w:t>4.3 Supporting Components</w:t>
      </w:r>
    </w:p>
    <w:p>
      <w:pPr>
        <w:pStyle w:val="ListBullet"/>
        <w:spacing w:after="40"/>
      </w:pPr>
      <w:r>
        <w:rPr>
          <w:b/>
        </w:rPr>
        <w:t xml:space="preserve">Channel Backends-for-Frontends (BFFs): </w:t>
      </w:r>
      <w:r>
        <w:t>each channel has a lightweight BFF that adapts the core APIs to its own needs. Examples are compact payloads for USSD, conversational state for the chatbot, and aggregated screens for web and mobile.</w:t>
      </w:r>
    </w:p>
    <w:p>
      <w:pPr>
        <w:pStyle w:val="ListBullet"/>
        <w:spacing w:after="40"/>
      </w:pPr>
      <w:r>
        <w:rPr>
          <w:b/>
        </w:rPr>
        <w:t xml:space="preserve">Workflow engine: </w:t>
      </w:r>
      <w:r>
        <w:t>the engine (e.g. Camunda 8 / Flowable) orchestrates long-running processes that span days, such as onboarding → CDS account approval and bid → results → settlement. It uses timers for cut-offs and escalations.</w:t>
      </w:r>
    </w:p>
    <w:p>
      <w:pPr>
        <w:pStyle w:val="ListBullet"/>
        <w:spacing w:after="40"/>
      </w:pPr>
      <w:r>
        <w:rPr>
          <w:b/>
        </w:rPr>
        <w:t xml:space="preserve">Rules engine: </w:t>
      </w:r>
      <w:r>
        <w:t>decision tables (DMN) hold eligibility, minimum bid amounts, bid limits per investor category, cut-off times and fee rules. Authorised users can change them under maker-checker control, without a code release.</w:t>
      </w:r>
    </w:p>
    <w:p>
      <w:pPr>
        <w:spacing w:after="0"/>
      </w:pPr>
    </w:p>
    <w:p>
      <w:pPr>
        <w:pStyle w:val="Heading2"/>
      </w:pPr>
      <w:r>
        <w:t>4.4 Multi-Participant Readiness</w:t>
      </w:r>
    </w:p>
    <w:p>
      <w:r>
        <w:rPr>
          <w:i w:val="0"/>
        </w:rPr>
        <w:t>The data model is participant-aware: every investor, bid and settlement record carries a participant (bank) identifier. TCB runs it as the only participant at go-live. Other banks or primary dealers can later be onboarded through partner APIs without redesign.</w:t>
      </w:r>
    </w:p>
    <w:p>
      <w:pPr>
        <w:pStyle w:val="Heading1"/>
      </w:pPr>
      <w:r>
        <w:t>5. End-to-End Process Architecture</w:t>
      </w:r>
    </w:p>
    <w:p>
      <w:r>
        <w:rPr>
          <w:i w:val="0"/>
        </w:rPr>
        <w:t>This section describes the main business processes end to end. Each step shows the system that performs it. Message formats for BoT steps will be finalised once BoT's interface specifications (R2) are received.</w:t>
      </w:r>
    </w:p>
    <w:p>
      <w:pPr>
        <w:pStyle w:val="Heading2"/>
      </w:pPr>
      <w:r>
        <w:t>5.1 Investor Onboarding and CDS Account Initiation</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680"/>
        <w:gridCol w:w="2154"/>
        <w:gridCol w:w="6577"/>
      </w:tblGrid>
      <w:tr>
        <w:trPr>
          <w:tblHeader w:val="true"/>
        </w:trPr>
        <w:tc>
          <w:tcPr>
            <w:tcW w:type="dxa" w:w="680"/>
            <w:vAlign w:val="center"/>
            <w:shd w:val="clear" w:color="auto" w:fill="1F3864"/>
          </w:tcPr>
          <w:p>
            <w:pPr>
              <w:spacing w:after="0"/>
            </w:pPr>
            <w:r/>
            <w:r>
              <w:rPr>
                <w:b/>
                <w:color w:val="FFFFFF"/>
                <w:sz w:val="18"/>
              </w:rPr>
              <w:t>Step</w:t>
            </w:r>
          </w:p>
        </w:tc>
        <w:tc>
          <w:tcPr>
            <w:tcW w:type="dxa" w:w="2154"/>
            <w:vAlign w:val="center"/>
            <w:shd w:val="clear" w:color="auto" w:fill="1F3864"/>
          </w:tcPr>
          <w:p>
            <w:pPr>
              <w:spacing w:after="0"/>
            </w:pPr>
            <w:r/>
            <w:r>
              <w:rPr>
                <w:b/>
                <w:color w:val="FFFFFF"/>
                <w:sz w:val="18"/>
              </w:rPr>
              <w:t>Actor / System</w:t>
            </w:r>
          </w:p>
        </w:tc>
        <w:tc>
          <w:tcPr>
            <w:tcW w:type="dxa" w:w="6576"/>
            <w:vAlign w:val="center"/>
            <w:shd w:val="clear" w:color="auto" w:fill="1F3864"/>
          </w:tcPr>
          <w:p>
            <w:pPr>
              <w:spacing w:after="0"/>
            </w:pPr>
            <w:r/>
            <w:r>
              <w:rPr>
                <w:b/>
                <w:color w:val="FFFFFF"/>
                <w:sz w:val="18"/>
              </w:rPr>
              <w:t>Action</w:t>
            </w:r>
          </w:p>
        </w:tc>
      </w:tr>
      <w:tr>
        <w:tc>
          <w:tcPr>
            <w:tcW w:type="dxa" w:w="680"/>
            <w:vAlign w:val="center"/>
          </w:tcPr>
          <w:p>
            <w:pPr>
              <w:spacing w:after="0"/>
            </w:pPr>
            <w:r/>
            <w:r>
              <w:rPr>
                <w:b w:val="0"/>
                <w:sz w:val="18"/>
              </w:rPr>
              <w:t>1</w:t>
            </w:r>
          </w:p>
        </w:tc>
        <w:tc>
          <w:tcPr>
            <w:tcW w:type="dxa" w:w="2154"/>
            <w:vAlign w:val="center"/>
          </w:tcPr>
          <w:p>
            <w:pPr>
              <w:spacing w:after="0"/>
            </w:pPr>
            <w:r/>
            <w:r>
              <w:rPr>
                <w:b w:val="0"/>
                <w:sz w:val="18"/>
              </w:rPr>
              <w:t>Investor (any channel)</w:t>
            </w:r>
          </w:p>
        </w:tc>
        <w:tc>
          <w:tcPr>
            <w:tcW w:type="dxa" w:w="6576"/>
            <w:vAlign w:val="center"/>
          </w:tcPr>
          <w:p>
            <w:pPr>
              <w:spacing w:after="0"/>
            </w:pPr>
            <w:r/>
            <w:r>
              <w:rPr>
                <w:b w:val="0"/>
                <w:sz w:val="18"/>
              </w:rPr>
              <w:t>Starts registration. Enters NIDA number (individual) or TIN/BRELA number (corporate) and mobile number, then verifies by OTP.</w:t>
            </w:r>
          </w:p>
        </w:tc>
      </w:tr>
      <w:tr>
        <w:tc>
          <w:tcPr>
            <w:tcW w:type="dxa" w:w="680"/>
            <w:vAlign w:val="center"/>
            <w:shd w:val="clear" w:color="auto" w:fill="F2F2F2"/>
          </w:tcPr>
          <w:p>
            <w:pPr>
              <w:spacing w:after="0"/>
            </w:pPr>
            <w:r/>
            <w:r>
              <w:rPr>
                <w:b w:val="0"/>
                <w:sz w:val="18"/>
              </w:rPr>
              <w:t>2</w:t>
            </w:r>
          </w:p>
        </w:tc>
        <w:tc>
          <w:tcPr>
            <w:tcW w:type="dxa" w:w="2154"/>
            <w:vAlign w:val="center"/>
            <w:shd w:val="clear" w:color="auto" w:fill="F2F2F2"/>
          </w:tcPr>
          <w:p>
            <w:pPr>
              <w:spacing w:after="0"/>
            </w:pPr>
            <w:r/>
            <w:r>
              <w:rPr>
                <w:b w:val="0"/>
                <w:sz w:val="18"/>
              </w:rPr>
              <w:t>Investor &amp; KYC service</w:t>
            </w:r>
          </w:p>
        </w:tc>
        <w:tc>
          <w:tcPr>
            <w:tcW w:type="dxa" w:w="6576"/>
            <w:vAlign w:val="center"/>
            <w:shd w:val="clear" w:color="auto" w:fill="F2F2F2"/>
          </w:tcPr>
          <w:p>
            <w:pPr>
              <w:spacing w:after="0"/>
            </w:pPr>
            <w:r/>
            <w:r>
              <w:rPr>
                <w:b w:val="0"/>
                <w:sz w:val="18"/>
              </w:rPr>
              <w:t>Verifies identity with NIDA (biometric/demographic where available). Screens against sanctions/PEP lists and computes a risk rating.</w:t>
            </w:r>
          </w:p>
        </w:tc>
      </w:tr>
      <w:tr>
        <w:tc>
          <w:tcPr>
            <w:tcW w:type="dxa" w:w="680"/>
            <w:vAlign w:val="center"/>
          </w:tcPr>
          <w:p>
            <w:pPr>
              <w:spacing w:after="0"/>
            </w:pPr>
            <w:r/>
            <w:r>
              <w:rPr>
                <w:b w:val="0"/>
                <w:sz w:val="18"/>
              </w:rPr>
              <w:t>3</w:t>
            </w:r>
          </w:p>
        </w:tc>
        <w:tc>
          <w:tcPr>
            <w:tcW w:type="dxa" w:w="2154"/>
            <w:vAlign w:val="center"/>
          </w:tcPr>
          <w:p>
            <w:pPr>
              <w:spacing w:after="0"/>
            </w:pPr>
            <w:r/>
            <w:r>
              <w:rPr>
                <w:b w:val="0"/>
                <w:sz w:val="18"/>
              </w:rPr>
              <w:t>Investor &amp; KYC service</w:t>
            </w:r>
          </w:p>
        </w:tc>
        <w:tc>
          <w:tcPr>
            <w:tcW w:type="dxa" w:w="6576"/>
            <w:vAlign w:val="center"/>
          </w:tcPr>
          <w:p>
            <w:pPr>
              <w:spacing w:after="0"/>
            </w:pPr>
            <w:r/>
            <w:r>
              <w:rPr>
                <w:b w:val="0"/>
                <w:sz w:val="18"/>
              </w:rPr>
              <w:t>Existing TCB customer: pulls CIF and accounts from CBS. New customer: triggers CBS account opening (e-KYC tier based on risk).</w:t>
            </w:r>
          </w:p>
        </w:tc>
      </w:tr>
      <w:tr>
        <w:tc>
          <w:tcPr>
            <w:tcW w:type="dxa" w:w="680"/>
            <w:vAlign w:val="center"/>
            <w:shd w:val="clear" w:color="auto" w:fill="F2F2F2"/>
          </w:tcPr>
          <w:p>
            <w:pPr>
              <w:spacing w:after="0"/>
            </w:pPr>
            <w:r/>
            <w:r>
              <w:rPr>
                <w:b w:val="0"/>
                <w:sz w:val="18"/>
              </w:rPr>
              <w:t>4</w:t>
            </w:r>
          </w:p>
        </w:tc>
        <w:tc>
          <w:tcPr>
            <w:tcW w:type="dxa" w:w="2154"/>
            <w:vAlign w:val="center"/>
            <w:shd w:val="clear" w:color="auto" w:fill="F2F2F2"/>
          </w:tcPr>
          <w:p>
            <w:pPr>
              <w:spacing w:after="0"/>
            </w:pPr>
            <w:r/>
            <w:r>
              <w:rPr>
                <w:b w:val="0"/>
                <w:sz w:val="18"/>
              </w:rPr>
              <w:t>Back-office (maker-checker)</w:t>
            </w:r>
          </w:p>
        </w:tc>
        <w:tc>
          <w:tcPr>
            <w:tcW w:type="dxa" w:w="6576"/>
            <w:vAlign w:val="center"/>
            <w:shd w:val="clear" w:color="auto" w:fill="F2F2F2"/>
          </w:tcPr>
          <w:p>
            <w:pPr>
              <w:spacing w:after="0"/>
            </w:pPr>
            <w:r/>
            <w:r>
              <w:rPr>
                <w:b w:val="0"/>
                <w:sz w:val="18"/>
              </w:rPr>
              <w:t>Reviews exceptions only, such as high-risk, corporate or name mismatches. Low-risk retail cases are straight-through.</w:t>
            </w:r>
          </w:p>
        </w:tc>
      </w:tr>
      <w:tr>
        <w:tc>
          <w:tcPr>
            <w:tcW w:type="dxa" w:w="680"/>
            <w:vAlign w:val="center"/>
          </w:tcPr>
          <w:p>
            <w:pPr>
              <w:spacing w:after="0"/>
            </w:pPr>
            <w:r/>
            <w:r>
              <w:rPr>
                <w:b w:val="0"/>
                <w:sz w:val="18"/>
              </w:rPr>
              <w:t>5</w:t>
            </w:r>
          </w:p>
        </w:tc>
        <w:tc>
          <w:tcPr>
            <w:tcW w:type="dxa" w:w="2154"/>
            <w:vAlign w:val="center"/>
          </w:tcPr>
          <w:p>
            <w:pPr>
              <w:spacing w:after="0"/>
            </w:pPr>
            <w:r/>
            <w:r>
              <w:rPr>
                <w:b w:val="0"/>
                <w:sz w:val="18"/>
              </w:rPr>
              <w:t>CDS Account service → BoT CDS</w:t>
            </w:r>
          </w:p>
        </w:tc>
        <w:tc>
          <w:tcPr>
            <w:tcW w:type="dxa" w:w="6576"/>
            <w:vAlign w:val="center"/>
          </w:tcPr>
          <w:p>
            <w:pPr>
              <w:spacing w:after="0"/>
            </w:pPr>
            <w:r/>
            <w:r>
              <w:rPr>
                <w:b w:val="0"/>
                <w:sz w:val="18"/>
              </w:rPr>
              <w:t>Submits the CDS account opening request with KYC attributes and the linked settlement account, then tracks the acknowledgement.</w:t>
            </w:r>
          </w:p>
        </w:tc>
      </w:tr>
      <w:tr>
        <w:tc>
          <w:tcPr>
            <w:tcW w:type="dxa" w:w="680"/>
            <w:vAlign w:val="center"/>
            <w:shd w:val="clear" w:color="auto" w:fill="F2F2F2"/>
          </w:tcPr>
          <w:p>
            <w:pPr>
              <w:spacing w:after="0"/>
            </w:pPr>
            <w:r/>
            <w:r>
              <w:rPr>
                <w:b w:val="0"/>
                <w:sz w:val="18"/>
              </w:rPr>
              <w:t>6</w:t>
            </w:r>
          </w:p>
        </w:tc>
        <w:tc>
          <w:tcPr>
            <w:tcW w:type="dxa" w:w="2154"/>
            <w:vAlign w:val="center"/>
            <w:shd w:val="clear" w:color="auto" w:fill="F2F2F2"/>
          </w:tcPr>
          <w:p>
            <w:pPr>
              <w:spacing w:after="0"/>
            </w:pPr>
            <w:r/>
            <w:r>
              <w:rPr>
                <w:b w:val="0"/>
                <w:sz w:val="18"/>
              </w:rPr>
              <w:t>BoT CDS → Platform</w:t>
            </w:r>
          </w:p>
        </w:tc>
        <w:tc>
          <w:tcPr>
            <w:tcW w:type="dxa" w:w="6576"/>
            <w:vAlign w:val="center"/>
            <w:shd w:val="clear" w:color="auto" w:fill="F2F2F2"/>
          </w:tcPr>
          <w:p>
            <w:pPr>
              <w:spacing w:after="0"/>
            </w:pPr>
            <w:r/>
            <w:r>
              <w:rPr>
                <w:b w:val="0"/>
                <w:sz w:val="18"/>
              </w:rPr>
              <w:t>Returns the CDS account number and status. The platform links it to the investor profile.</w:t>
            </w:r>
          </w:p>
        </w:tc>
      </w:tr>
      <w:tr>
        <w:tc>
          <w:tcPr>
            <w:tcW w:type="dxa" w:w="680"/>
            <w:vAlign w:val="center"/>
          </w:tcPr>
          <w:p>
            <w:pPr>
              <w:spacing w:after="0"/>
            </w:pPr>
            <w:r/>
            <w:r>
              <w:rPr>
                <w:b w:val="0"/>
                <w:sz w:val="18"/>
              </w:rPr>
              <w:t>7</w:t>
            </w:r>
          </w:p>
        </w:tc>
        <w:tc>
          <w:tcPr>
            <w:tcW w:type="dxa" w:w="2154"/>
            <w:vAlign w:val="center"/>
          </w:tcPr>
          <w:p>
            <w:pPr>
              <w:spacing w:after="0"/>
            </w:pPr>
            <w:r/>
            <w:r>
              <w:rPr>
                <w:b w:val="0"/>
                <w:sz w:val="18"/>
              </w:rPr>
              <w:t>Notifications</w:t>
            </w:r>
          </w:p>
        </w:tc>
        <w:tc>
          <w:tcPr>
            <w:tcW w:type="dxa" w:w="6576"/>
            <w:vAlign w:val="center"/>
          </w:tcPr>
          <w:p>
            <w:pPr>
              <w:spacing w:after="0"/>
            </w:pPr>
            <w:r/>
            <w:r>
              <w:rPr>
                <w:b w:val="0"/>
                <w:sz w:val="18"/>
              </w:rPr>
              <w:t>Tells the investor the account is ready to bid (SMS and channel message).</w:t>
            </w:r>
          </w:p>
        </w:tc>
      </w:tr>
    </w:tbl>
    <w:p>
      <w:pPr>
        <w:spacing w:after="40"/>
      </w:pPr>
    </w:p>
    <w:p>
      <w:pPr>
        <w:jc w:val="center"/>
      </w:pPr>
      <w:r>
        <w:rPr>
          <w:i/>
          <w:color w:val="595959"/>
          <w:sz w:val="18"/>
        </w:rPr>
        <w:t>Table – Onboarding and CDS account initiation flow</w:t>
      </w:r>
    </w:p>
    <w:p>
      <w:pPr>
        <w:pStyle w:val="Heading2"/>
      </w:pPr>
      <w:r>
        <w:t>5.2 Auction Publication and Bid Submission</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680"/>
        <w:gridCol w:w="2154"/>
        <w:gridCol w:w="6577"/>
      </w:tblGrid>
      <w:tr>
        <w:trPr>
          <w:tblHeader w:val="true"/>
        </w:trPr>
        <w:tc>
          <w:tcPr>
            <w:tcW w:type="dxa" w:w="680"/>
            <w:vAlign w:val="center"/>
            <w:shd w:val="clear" w:color="auto" w:fill="1F3864"/>
          </w:tcPr>
          <w:p>
            <w:pPr>
              <w:spacing w:after="0"/>
            </w:pPr>
            <w:r/>
            <w:r>
              <w:rPr>
                <w:b/>
                <w:color w:val="FFFFFF"/>
                <w:sz w:val="18"/>
              </w:rPr>
              <w:t>Step</w:t>
            </w:r>
          </w:p>
        </w:tc>
        <w:tc>
          <w:tcPr>
            <w:tcW w:type="dxa" w:w="2154"/>
            <w:vAlign w:val="center"/>
            <w:shd w:val="clear" w:color="auto" w:fill="1F3864"/>
          </w:tcPr>
          <w:p>
            <w:pPr>
              <w:spacing w:after="0"/>
            </w:pPr>
            <w:r/>
            <w:r>
              <w:rPr>
                <w:b/>
                <w:color w:val="FFFFFF"/>
                <w:sz w:val="18"/>
              </w:rPr>
              <w:t>Actor / System</w:t>
            </w:r>
          </w:p>
        </w:tc>
        <w:tc>
          <w:tcPr>
            <w:tcW w:type="dxa" w:w="6576"/>
            <w:vAlign w:val="center"/>
            <w:shd w:val="clear" w:color="auto" w:fill="1F3864"/>
          </w:tcPr>
          <w:p>
            <w:pPr>
              <w:spacing w:after="0"/>
            </w:pPr>
            <w:r/>
            <w:r>
              <w:rPr>
                <w:b/>
                <w:color w:val="FFFFFF"/>
                <w:sz w:val="18"/>
              </w:rPr>
              <w:t>Action</w:t>
            </w:r>
          </w:p>
        </w:tc>
      </w:tr>
      <w:tr>
        <w:tc>
          <w:tcPr>
            <w:tcW w:type="dxa" w:w="680"/>
            <w:vAlign w:val="center"/>
          </w:tcPr>
          <w:p>
            <w:pPr>
              <w:spacing w:after="0"/>
            </w:pPr>
            <w:r/>
            <w:r>
              <w:rPr>
                <w:b w:val="0"/>
                <w:sz w:val="18"/>
              </w:rPr>
              <w:t>1</w:t>
            </w:r>
          </w:p>
        </w:tc>
        <w:tc>
          <w:tcPr>
            <w:tcW w:type="dxa" w:w="2154"/>
            <w:vAlign w:val="center"/>
          </w:tcPr>
          <w:p>
            <w:pPr>
              <w:spacing w:after="0"/>
            </w:pPr>
            <w:r/>
            <w:r>
              <w:rPr>
                <w:b w:val="0"/>
                <w:sz w:val="18"/>
              </w:rPr>
              <w:t>BoT Auction → Auction Catalogue</w:t>
            </w:r>
          </w:p>
        </w:tc>
        <w:tc>
          <w:tcPr>
            <w:tcW w:type="dxa" w:w="6576"/>
            <w:vAlign w:val="center"/>
          </w:tcPr>
          <w:p>
            <w:pPr>
              <w:spacing w:after="0"/>
            </w:pPr>
            <w:r/>
            <w:r>
              <w:rPr>
                <w:b w:val="0"/>
                <w:sz w:val="18"/>
              </w:rPr>
              <w:t>The platform imports the auction calendar and each auction notice (security, tenor, offer size, cut-off date and time) by API or scheduled file.</w:t>
            </w:r>
          </w:p>
        </w:tc>
      </w:tr>
      <w:tr>
        <w:tc>
          <w:tcPr>
            <w:tcW w:type="dxa" w:w="680"/>
            <w:vAlign w:val="center"/>
            <w:shd w:val="clear" w:color="auto" w:fill="F2F2F2"/>
          </w:tcPr>
          <w:p>
            <w:pPr>
              <w:spacing w:after="0"/>
            </w:pPr>
            <w:r/>
            <w:r>
              <w:rPr>
                <w:b w:val="0"/>
                <w:sz w:val="18"/>
              </w:rPr>
              <w:t>2</w:t>
            </w:r>
          </w:p>
        </w:tc>
        <w:tc>
          <w:tcPr>
            <w:tcW w:type="dxa" w:w="2154"/>
            <w:vAlign w:val="center"/>
            <w:shd w:val="clear" w:color="auto" w:fill="F2F2F2"/>
          </w:tcPr>
          <w:p>
            <w:pPr>
              <w:spacing w:after="0"/>
            </w:pPr>
            <w:r/>
            <w:r>
              <w:rPr>
                <w:b w:val="0"/>
                <w:sz w:val="18"/>
              </w:rPr>
              <w:t>Notifications</w:t>
            </w:r>
          </w:p>
        </w:tc>
        <w:tc>
          <w:tcPr>
            <w:tcW w:type="dxa" w:w="6576"/>
            <w:vAlign w:val="center"/>
            <w:shd w:val="clear" w:color="auto" w:fill="F2F2F2"/>
          </w:tcPr>
          <w:p>
            <w:pPr>
              <w:spacing w:after="0"/>
            </w:pPr>
            <w:r/>
            <w:r>
              <w:rPr>
                <w:b w:val="0"/>
                <w:sz w:val="18"/>
              </w:rPr>
              <w:t>Sends auction alerts to opted-in investors on their preferred channel.</w:t>
            </w:r>
          </w:p>
        </w:tc>
      </w:tr>
      <w:tr>
        <w:tc>
          <w:tcPr>
            <w:tcW w:type="dxa" w:w="680"/>
            <w:vAlign w:val="center"/>
          </w:tcPr>
          <w:p>
            <w:pPr>
              <w:spacing w:after="0"/>
            </w:pPr>
            <w:r/>
            <w:r>
              <w:rPr>
                <w:b w:val="0"/>
                <w:sz w:val="18"/>
              </w:rPr>
              <w:t>3</w:t>
            </w:r>
          </w:p>
        </w:tc>
        <w:tc>
          <w:tcPr>
            <w:tcW w:type="dxa" w:w="2154"/>
            <w:vAlign w:val="center"/>
          </w:tcPr>
          <w:p>
            <w:pPr>
              <w:spacing w:after="0"/>
            </w:pPr>
            <w:r/>
            <w:r>
              <w:rPr>
                <w:b w:val="0"/>
                <w:sz w:val="18"/>
              </w:rPr>
              <w:t>Investor</w:t>
            </w:r>
          </w:p>
        </w:tc>
        <w:tc>
          <w:tcPr>
            <w:tcW w:type="dxa" w:w="6576"/>
            <w:vAlign w:val="center"/>
          </w:tcPr>
          <w:p>
            <w:pPr>
              <w:spacing w:after="0"/>
            </w:pPr>
            <w:r/>
            <w:r>
              <w:rPr>
                <w:b w:val="0"/>
                <w:sz w:val="18"/>
              </w:rPr>
              <w:t>Selects the auction and enters a bid: non-competitive (amount) or competitive (amount plus price per 100 face value, as BoT's API requires). Accepts terms and confirms with PIN or biometric.</w:t>
            </w:r>
          </w:p>
        </w:tc>
      </w:tr>
      <w:tr>
        <w:tc>
          <w:tcPr>
            <w:tcW w:type="dxa" w:w="680"/>
            <w:vAlign w:val="center"/>
            <w:shd w:val="clear" w:color="auto" w:fill="F2F2F2"/>
          </w:tcPr>
          <w:p>
            <w:pPr>
              <w:spacing w:after="0"/>
            </w:pPr>
            <w:r/>
            <w:r>
              <w:rPr>
                <w:b w:val="0"/>
                <w:sz w:val="18"/>
              </w:rPr>
              <w:t>4</w:t>
            </w:r>
          </w:p>
        </w:tc>
        <w:tc>
          <w:tcPr>
            <w:tcW w:type="dxa" w:w="2154"/>
            <w:vAlign w:val="center"/>
            <w:shd w:val="clear" w:color="auto" w:fill="F2F2F2"/>
          </w:tcPr>
          <w:p>
            <w:pPr>
              <w:spacing w:after="0"/>
            </w:pPr>
            <w:r/>
            <w:r>
              <w:rPr>
                <w:b w:val="0"/>
                <w:sz w:val="18"/>
              </w:rPr>
              <w:t>Bidding service + Rules engine</w:t>
            </w:r>
          </w:p>
        </w:tc>
        <w:tc>
          <w:tcPr>
            <w:tcW w:type="dxa" w:w="6576"/>
            <w:vAlign w:val="center"/>
            <w:shd w:val="clear" w:color="auto" w:fill="F2F2F2"/>
          </w:tcPr>
          <w:p>
            <w:pPr>
              <w:spacing w:after="0"/>
            </w:pPr>
            <w:r/>
            <w:r>
              <w:rPr>
                <w:b w:val="0"/>
                <w:sz w:val="18"/>
              </w:rPr>
              <w:t>Validates eligibility, the CDS account, the minimum and multiple amounts, the cut-off time and the per-investor limits.</w:t>
            </w:r>
          </w:p>
        </w:tc>
      </w:tr>
      <w:tr>
        <w:tc>
          <w:tcPr>
            <w:tcW w:type="dxa" w:w="680"/>
            <w:vAlign w:val="center"/>
          </w:tcPr>
          <w:p>
            <w:pPr>
              <w:spacing w:after="0"/>
            </w:pPr>
            <w:r/>
            <w:r>
              <w:rPr>
                <w:b w:val="0"/>
                <w:sz w:val="18"/>
              </w:rPr>
              <w:t>5</w:t>
            </w:r>
          </w:p>
        </w:tc>
        <w:tc>
          <w:tcPr>
            <w:tcW w:type="dxa" w:w="2154"/>
            <w:vAlign w:val="center"/>
          </w:tcPr>
          <w:p>
            <w:pPr>
              <w:spacing w:after="0"/>
            </w:pPr>
            <w:r/>
            <w:r>
              <w:rPr>
                <w:b w:val="0"/>
                <w:sz w:val="18"/>
              </w:rPr>
              <w:t>Payments service → CBS</w:t>
            </w:r>
          </w:p>
        </w:tc>
        <w:tc>
          <w:tcPr>
            <w:tcW w:type="dxa" w:w="6576"/>
            <w:vAlign w:val="center"/>
          </w:tcPr>
          <w:p>
            <w:pPr>
              <w:spacing w:after="0"/>
            </w:pPr>
            <w:r/>
            <w:r>
              <w:rPr>
                <w:b w:val="0"/>
                <w:sz w:val="18"/>
              </w:rPr>
              <w:t>Places a funds hold (lien) on the settlement account for the bid amount plus fees. The bid is REJECTED if funds are insufficient.</w:t>
            </w:r>
          </w:p>
        </w:tc>
      </w:tr>
      <w:tr>
        <w:tc>
          <w:tcPr>
            <w:tcW w:type="dxa" w:w="680"/>
            <w:vAlign w:val="center"/>
            <w:shd w:val="clear" w:color="auto" w:fill="F2F2F2"/>
          </w:tcPr>
          <w:p>
            <w:pPr>
              <w:spacing w:after="0"/>
            </w:pPr>
            <w:r/>
            <w:r>
              <w:rPr>
                <w:b w:val="0"/>
                <w:sz w:val="18"/>
              </w:rPr>
              <w:t>6</w:t>
            </w:r>
          </w:p>
        </w:tc>
        <w:tc>
          <w:tcPr>
            <w:tcW w:type="dxa" w:w="2154"/>
            <w:vAlign w:val="center"/>
            <w:shd w:val="clear" w:color="auto" w:fill="F2F2F2"/>
          </w:tcPr>
          <w:p>
            <w:pPr>
              <w:spacing w:after="0"/>
            </w:pPr>
            <w:r/>
            <w:r>
              <w:rPr>
                <w:b w:val="0"/>
                <w:sz w:val="18"/>
              </w:rPr>
              <w:t>Bidding service</w:t>
            </w:r>
          </w:p>
        </w:tc>
        <w:tc>
          <w:tcPr>
            <w:tcW w:type="dxa" w:w="6576"/>
            <w:vAlign w:val="center"/>
            <w:shd w:val="clear" w:color="auto" w:fill="F2F2F2"/>
          </w:tcPr>
          <w:p>
            <w:pPr>
              <w:spacing w:after="0"/>
            </w:pPr>
            <w:r/>
            <w:r>
              <w:rPr>
                <w:b w:val="0"/>
                <w:sz w:val="18"/>
              </w:rPr>
              <w:t>Records the bid as ACCEPTED-PENDING-SUBMISSION, issues a bid reference and sends a confirmation receipt.</w:t>
            </w:r>
          </w:p>
        </w:tc>
      </w:tr>
      <w:tr>
        <w:tc>
          <w:tcPr>
            <w:tcW w:type="dxa" w:w="680"/>
            <w:vAlign w:val="center"/>
          </w:tcPr>
          <w:p>
            <w:pPr>
              <w:spacing w:after="0"/>
            </w:pPr>
            <w:r/>
            <w:r>
              <w:rPr>
                <w:b w:val="0"/>
                <w:sz w:val="18"/>
              </w:rPr>
              <w:t>7</w:t>
            </w:r>
          </w:p>
        </w:tc>
        <w:tc>
          <w:tcPr>
            <w:tcW w:type="dxa" w:w="2154"/>
            <w:vAlign w:val="center"/>
          </w:tcPr>
          <w:p>
            <w:pPr>
              <w:spacing w:after="0"/>
            </w:pPr>
            <w:r/>
            <w:r>
              <w:rPr>
                <w:b w:val="0"/>
                <w:sz w:val="18"/>
              </w:rPr>
              <w:t>Investor</w:t>
            </w:r>
          </w:p>
        </w:tc>
        <w:tc>
          <w:tcPr>
            <w:tcW w:type="dxa" w:w="6576"/>
            <w:vAlign w:val="center"/>
          </w:tcPr>
          <w:p>
            <w:pPr>
              <w:spacing w:after="0"/>
            </w:pPr>
            <w:r/>
            <w:r>
              <w:rPr>
                <w:b w:val="0"/>
                <w:sz w:val="18"/>
              </w:rPr>
              <w:t>May amend or withdraw the bid before cut-off. Each change adjusts the hold.</w:t>
            </w:r>
          </w:p>
        </w:tc>
      </w:tr>
      <w:tr>
        <w:tc>
          <w:tcPr>
            <w:tcW w:type="dxa" w:w="680"/>
            <w:vAlign w:val="center"/>
            <w:shd w:val="clear" w:color="auto" w:fill="F2F2F2"/>
          </w:tcPr>
          <w:p>
            <w:pPr>
              <w:spacing w:after="0"/>
            </w:pPr>
            <w:r/>
            <w:r>
              <w:rPr>
                <w:b w:val="0"/>
                <w:sz w:val="18"/>
              </w:rPr>
              <w:t>8</w:t>
            </w:r>
          </w:p>
        </w:tc>
        <w:tc>
          <w:tcPr>
            <w:tcW w:type="dxa" w:w="2154"/>
            <w:vAlign w:val="center"/>
            <w:shd w:val="clear" w:color="auto" w:fill="F2F2F2"/>
          </w:tcPr>
          <w:p>
            <w:pPr>
              <w:spacing w:after="0"/>
            </w:pPr>
            <w:r/>
            <w:r>
              <w:rPr>
                <w:b w:val="0"/>
                <w:sz w:val="18"/>
              </w:rPr>
              <w:t>Bidding service → BoT Auction</w:t>
            </w:r>
          </w:p>
        </w:tc>
        <w:tc>
          <w:tcPr>
            <w:tcW w:type="dxa" w:w="6576"/>
            <w:vAlign w:val="center"/>
            <w:shd w:val="clear" w:color="auto" w:fill="F2F2F2"/>
          </w:tcPr>
          <w:p>
            <w:pPr>
              <w:spacing w:after="0"/>
            </w:pPr>
            <w:r/>
            <w:r>
              <w:rPr>
                <w:b w:val="0"/>
                <w:sz w:val="18"/>
              </w:rPr>
              <w:t>At the configured pre-cut-off time, consolidates bids. After maker-checker approval by Treasury Operations, submits them by API or in the BoT file format and stores BoT's acknowledgement.</w:t>
            </w:r>
          </w:p>
        </w:tc>
      </w:tr>
    </w:tbl>
    <w:p>
      <w:pPr>
        <w:spacing w:after="40"/>
      </w:pPr>
    </w:p>
    <w:p>
      <w:pPr>
        <w:jc w:val="center"/>
      </w:pPr>
      <w:r>
        <w:rPr>
          <w:i/>
          <w:color w:val="595959"/>
          <w:sz w:val="18"/>
        </w:rPr>
        <w:t>Table – Auction publication and bidding flow</w:t>
      </w:r>
    </w:p>
    <w:p>
      <w:pPr>
        <w:pStyle w:val="Heading2"/>
      </w:pPr>
      <w:r>
        <w:t>5.3 Results, Allocation and Instant Notification</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680"/>
        <w:gridCol w:w="2154"/>
        <w:gridCol w:w="6577"/>
      </w:tblGrid>
      <w:tr>
        <w:trPr>
          <w:tblHeader w:val="true"/>
        </w:trPr>
        <w:tc>
          <w:tcPr>
            <w:tcW w:type="dxa" w:w="680"/>
            <w:vAlign w:val="center"/>
            <w:shd w:val="clear" w:color="auto" w:fill="1F3864"/>
          </w:tcPr>
          <w:p>
            <w:pPr>
              <w:spacing w:after="0"/>
            </w:pPr>
            <w:r/>
            <w:r>
              <w:rPr>
                <w:b/>
                <w:color w:val="FFFFFF"/>
                <w:sz w:val="18"/>
              </w:rPr>
              <w:t>Step</w:t>
            </w:r>
          </w:p>
        </w:tc>
        <w:tc>
          <w:tcPr>
            <w:tcW w:type="dxa" w:w="2154"/>
            <w:vAlign w:val="center"/>
            <w:shd w:val="clear" w:color="auto" w:fill="1F3864"/>
          </w:tcPr>
          <w:p>
            <w:pPr>
              <w:spacing w:after="0"/>
            </w:pPr>
            <w:r/>
            <w:r>
              <w:rPr>
                <w:b/>
                <w:color w:val="FFFFFF"/>
                <w:sz w:val="18"/>
              </w:rPr>
              <w:t>Actor / System</w:t>
            </w:r>
          </w:p>
        </w:tc>
        <w:tc>
          <w:tcPr>
            <w:tcW w:type="dxa" w:w="6576"/>
            <w:vAlign w:val="center"/>
            <w:shd w:val="clear" w:color="auto" w:fill="1F3864"/>
          </w:tcPr>
          <w:p>
            <w:pPr>
              <w:spacing w:after="0"/>
            </w:pPr>
            <w:r/>
            <w:r>
              <w:rPr>
                <w:b/>
                <w:color w:val="FFFFFF"/>
                <w:sz w:val="18"/>
              </w:rPr>
              <w:t>Action</w:t>
            </w:r>
          </w:p>
        </w:tc>
      </w:tr>
      <w:tr>
        <w:tc>
          <w:tcPr>
            <w:tcW w:type="dxa" w:w="680"/>
            <w:vAlign w:val="center"/>
          </w:tcPr>
          <w:p>
            <w:pPr>
              <w:spacing w:after="0"/>
            </w:pPr>
            <w:r/>
            <w:r>
              <w:rPr>
                <w:b w:val="0"/>
                <w:sz w:val="18"/>
              </w:rPr>
              <w:t>1</w:t>
            </w:r>
          </w:p>
        </w:tc>
        <w:tc>
          <w:tcPr>
            <w:tcW w:type="dxa" w:w="2154"/>
            <w:vAlign w:val="center"/>
          </w:tcPr>
          <w:p>
            <w:pPr>
              <w:spacing w:after="0"/>
            </w:pPr>
            <w:r/>
            <w:r>
              <w:rPr>
                <w:b w:val="0"/>
                <w:sz w:val="18"/>
              </w:rPr>
              <w:t>BoT Auction → Allocation service</w:t>
            </w:r>
          </w:p>
        </w:tc>
        <w:tc>
          <w:tcPr>
            <w:tcW w:type="dxa" w:w="6576"/>
            <w:vAlign w:val="center"/>
          </w:tcPr>
          <w:p>
            <w:pPr>
              <w:spacing w:after="0"/>
            </w:pPr>
            <w:r/>
            <w:r>
              <w:rPr>
                <w:b w:val="0"/>
                <w:sz w:val="18"/>
              </w:rPr>
              <w:t>Receives results by BoT webhook (POST /bidding/callback) and confirms them with GET /winners/{ISIN}: allotted amount and price per bid.</w:t>
            </w:r>
          </w:p>
        </w:tc>
      </w:tr>
      <w:tr>
        <w:tc>
          <w:tcPr>
            <w:tcW w:type="dxa" w:w="680"/>
            <w:vAlign w:val="center"/>
            <w:shd w:val="clear" w:color="auto" w:fill="F2F2F2"/>
          </w:tcPr>
          <w:p>
            <w:pPr>
              <w:spacing w:after="0"/>
            </w:pPr>
            <w:r/>
            <w:r>
              <w:rPr>
                <w:b w:val="0"/>
                <w:sz w:val="18"/>
              </w:rPr>
              <w:t>2</w:t>
            </w:r>
          </w:p>
        </w:tc>
        <w:tc>
          <w:tcPr>
            <w:tcW w:type="dxa" w:w="2154"/>
            <w:vAlign w:val="center"/>
            <w:shd w:val="clear" w:color="auto" w:fill="F2F2F2"/>
          </w:tcPr>
          <w:p>
            <w:pPr>
              <w:spacing w:after="0"/>
            </w:pPr>
            <w:r/>
            <w:r>
              <w:rPr>
                <w:b w:val="0"/>
                <w:sz w:val="18"/>
              </w:rPr>
              <w:t>Allocation service</w:t>
            </w:r>
          </w:p>
        </w:tc>
        <w:tc>
          <w:tcPr>
            <w:tcW w:type="dxa" w:w="6576"/>
            <w:vAlign w:val="center"/>
            <w:shd w:val="clear" w:color="auto" w:fill="F2F2F2"/>
          </w:tcPr>
          <w:p>
            <w:pPr>
              <w:spacing w:after="0"/>
            </w:pPr>
            <w:r/>
            <w:r>
              <w:rPr>
                <w:b w:val="0"/>
                <w:sz w:val="18"/>
              </w:rPr>
              <w:t>Matches results to individual bids and computes the allocated face value, settlement amount (discounted price for T-Bills, clean price plus accrued interest for T-Bonds) and fees.</w:t>
            </w:r>
          </w:p>
        </w:tc>
      </w:tr>
      <w:tr>
        <w:tc>
          <w:tcPr>
            <w:tcW w:type="dxa" w:w="680"/>
            <w:vAlign w:val="center"/>
          </w:tcPr>
          <w:p>
            <w:pPr>
              <w:spacing w:after="0"/>
            </w:pPr>
            <w:r/>
            <w:r>
              <w:rPr>
                <w:b w:val="0"/>
                <w:sz w:val="18"/>
              </w:rPr>
              <w:t>3</w:t>
            </w:r>
          </w:p>
        </w:tc>
        <w:tc>
          <w:tcPr>
            <w:tcW w:type="dxa" w:w="2154"/>
            <w:vAlign w:val="center"/>
          </w:tcPr>
          <w:p>
            <w:pPr>
              <w:spacing w:after="0"/>
            </w:pPr>
            <w:r/>
            <w:r>
              <w:rPr>
                <w:b w:val="0"/>
                <w:sz w:val="18"/>
              </w:rPr>
              <w:t>Notifications</w:t>
            </w:r>
          </w:p>
        </w:tc>
        <w:tc>
          <w:tcPr>
            <w:tcW w:type="dxa" w:w="6576"/>
            <w:vAlign w:val="center"/>
          </w:tcPr>
          <w:p>
            <w:pPr>
              <w:spacing w:after="0"/>
            </w:pPr>
            <w:r/>
            <w:r>
              <w:rPr>
                <w:b w:val="0"/>
                <w:sz w:val="18"/>
              </w:rPr>
              <w:t>Pushes the result to each investor within minutes of receipt: successful, partially successful or unsuccessful, with amounts.</w:t>
            </w:r>
          </w:p>
        </w:tc>
      </w:tr>
      <w:tr>
        <w:tc>
          <w:tcPr>
            <w:tcW w:type="dxa" w:w="680"/>
            <w:vAlign w:val="center"/>
            <w:shd w:val="clear" w:color="auto" w:fill="F2F2F2"/>
          </w:tcPr>
          <w:p>
            <w:pPr>
              <w:spacing w:after="0"/>
            </w:pPr>
            <w:r/>
            <w:r>
              <w:rPr>
                <w:b w:val="0"/>
                <w:sz w:val="18"/>
              </w:rPr>
              <w:t>4</w:t>
            </w:r>
          </w:p>
        </w:tc>
        <w:tc>
          <w:tcPr>
            <w:tcW w:type="dxa" w:w="2154"/>
            <w:vAlign w:val="center"/>
            <w:shd w:val="clear" w:color="auto" w:fill="F2F2F2"/>
          </w:tcPr>
          <w:p>
            <w:pPr>
              <w:spacing w:after="0"/>
            </w:pPr>
            <w:r/>
            <w:r>
              <w:rPr>
                <w:b w:val="0"/>
                <w:sz w:val="18"/>
              </w:rPr>
              <w:t>Payments service → CBS</w:t>
            </w:r>
          </w:p>
        </w:tc>
        <w:tc>
          <w:tcPr>
            <w:tcW w:type="dxa" w:w="6576"/>
            <w:vAlign w:val="center"/>
            <w:shd w:val="clear" w:color="auto" w:fill="F2F2F2"/>
          </w:tcPr>
          <w:p>
            <w:pPr>
              <w:spacing w:after="0"/>
            </w:pPr>
            <w:r/>
            <w:r>
              <w:rPr>
                <w:b w:val="0"/>
                <w:sz w:val="18"/>
              </w:rPr>
              <w:t>Releases holds for unsuccessful or unallocated amounts immediately.</w:t>
            </w:r>
          </w:p>
        </w:tc>
      </w:tr>
    </w:tbl>
    <w:p>
      <w:pPr>
        <w:spacing w:after="40"/>
      </w:pPr>
    </w:p>
    <w:p>
      <w:pPr>
        <w:jc w:val="center"/>
      </w:pPr>
      <w:r>
        <w:rPr>
          <w:i/>
          <w:color w:val="595959"/>
          <w:sz w:val="18"/>
        </w:rPr>
        <w:t>Table – Results and allocation flow</w:t>
      </w:r>
    </w:p>
    <w:p>
      <w:pPr>
        <w:pStyle w:val="Heading2"/>
      </w:pPr>
      <w:r>
        <w:t>5.4 Payment and Settlement</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680"/>
        <w:gridCol w:w="2154"/>
        <w:gridCol w:w="6577"/>
      </w:tblGrid>
      <w:tr>
        <w:trPr>
          <w:tblHeader w:val="true"/>
        </w:trPr>
        <w:tc>
          <w:tcPr>
            <w:tcW w:type="dxa" w:w="680"/>
            <w:vAlign w:val="center"/>
            <w:shd w:val="clear" w:color="auto" w:fill="1F3864"/>
          </w:tcPr>
          <w:p>
            <w:pPr>
              <w:spacing w:after="0"/>
            </w:pPr>
            <w:r/>
            <w:r>
              <w:rPr>
                <w:b/>
                <w:color w:val="FFFFFF"/>
                <w:sz w:val="18"/>
              </w:rPr>
              <w:t>Step</w:t>
            </w:r>
          </w:p>
        </w:tc>
        <w:tc>
          <w:tcPr>
            <w:tcW w:type="dxa" w:w="2154"/>
            <w:vAlign w:val="center"/>
            <w:shd w:val="clear" w:color="auto" w:fill="1F3864"/>
          </w:tcPr>
          <w:p>
            <w:pPr>
              <w:spacing w:after="0"/>
            </w:pPr>
            <w:r/>
            <w:r>
              <w:rPr>
                <w:b/>
                <w:color w:val="FFFFFF"/>
                <w:sz w:val="18"/>
              </w:rPr>
              <w:t>Actor / System</w:t>
            </w:r>
          </w:p>
        </w:tc>
        <w:tc>
          <w:tcPr>
            <w:tcW w:type="dxa" w:w="6576"/>
            <w:vAlign w:val="center"/>
            <w:shd w:val="clear" w:color="auto" w:fill="1F3864"/>
          </w:tcPr>
          <w:p>
            <w:pPr>
              <w:spacing w:after="0"/>
            </w:pPr>
            <w:r/>
            <w:r>
              <w:rPr>
                <w:b/>
                <w:color w:val="FFFFFF"/>
                <w:sz w:val="18"/>
              </w:rPr>
              <w:t>Action</w:t>
            </w:r>
          </w:p>
        </w:tc>
      </w:tr>
      <w:tr>
        <w:tc>
          <w:tcPr>
            <w:tcW w:type="dxa" w:w="680"/>
            <w:vAlign w:val="center"/>
          </w:tcPr>
          <w:p>
            <w:pPr>
              <w:spacing w:after="0"/>
            </w:pPr>
            <w:r/>
            <w:r>
              <w:rPr>
                <w:b w:val="0"/>
                <w:sz w:val="18"/>
              </w:rPr>
              <w:t>1</w:t>
            </w:r>
          </w:p>
        </w:tc>
        <w:tc>
          <w:tcPr>
            <w:tcW w:type="dxa" w:w="2154"/>
            <w:vAlign w:val="center"/>
          </w:tcPr>
          <w:p>
            <w:pPr>
              <w:spacing w:after="0"/>
            </w:pPr>
            <w:r/>
            <w:r>
              <w:rPr>
                <w:b w:val="0"/>
                <w:sz w:val="18"/>
              </w:rPr>
              <w:t>Payments service → CBS</w:t>
            </w:r>
          </w:p>
        </w:tc>
        <w:tc>
          <w:tcPr>
            <w:tcW w:type="dxa" w:w="6576"/>
            <w:vAlign w:val="center"/>
          </w:tcPr>
          <w:p>
            <w:pPr>
              <w:spacing w:after="0"/>
            </w:pPr>
            <w:r/>
            <w:r>
              <w:rPr>
                <w:b w:val="0"/>
                <w:sz w:val="18"/>
              </w:rPr>
              <w:t>On value date, converts holds into debits and credits the TCB GovSec settlement/suspense GL.</w:t>
            </w:r>
          </w:p>
        </w:tc>
      </w:tr>
      <w:tr>
        <w:tc>
          <w:tcPr>
            <w:tcW w:type="dxa" w:w="680"/>
            <w:vAlign w:val="center"/>
            <w:shd w:val="clear" w:color="auto" w:fill="F2F2F2"/>
          </w:tcPr>
          <w:p>
            <w:pPr>
              <w:spacing w:after="0"/>
            </w:pPr>
            <w:r/>
            <w:r>
              <w:rPr>
                <w:b w:val="0"/>
                <w:sz w:val="18"/>
              </w:rPr>
              <w:t>2</w:t>
            </w:r>
          </w:p>
        </w:tc>
        <w:tc>
          <w:tcPr>
            <w:tcW w:type="dxa" w:w="2154"/>
            <w:vAlign w:val="center"/>
            <w:shd w:val="clear" w:color="auto" w:fill="F2F2F2"/>
          </w:tcPr>
          <w:p>
            <w:pPr>
              <w:spacing w:after="0"/>
            </w:pPr>
            <w:r/>
            <w:r>
              <w:rPr>
                <w:b w:val="0"/>
                <w:sz w:val="18"/>
              </w:rPr>
              <w:t>Payments service → TISS/BoT</w:t>
            </w:r>
          </w:p>
        </w:tc>
        <w:tc>
          <w:tcPr>
            <w:tcW w:type="dxa" w:w="6576"/>
            <w:vAlign w:val="center"/>
            <w:shd w:val="clear" w:color="auto" w:fill="F2F2F2"/>
          </w:tcPr>
          <w:p>
            <w:pPr>
              <w:spacing w:after="0"/>
            </w:pPr>
            <w:r/>
            <w:r>
              <w:rPr>
                <w:b w:val="0"/>
                <w:sz w:val="18"/>
              </w:rPr>
              <w:t>Settles the aggregate amount to BoT through TISS (or the BoT-prescribed mechanism, e.g. a GePG control number) and captures the settlement reference.</w:t>
            </w:r>
          </w:p>
        </w:tc>
      </w:tr>
      <w:tr>
        <w:tc>
          <w:tcPr>
            <w:tcW w:type="dxa" w:w="680"/>
            <w:vAlign w:val="center"/>
          </w:tcPr>
          <w:p>
            <w:pPr>
              <w:spacing w:after="0"/>
            </w:pPr>
            <w:r/>
            <w:r>
              <w:rPr>
                <w:b w:val="0"/>
                <w:sz w:val="18"/>
              </w:rPr>
              <w:t>3</w:t>
            </w:r>
          </w:p>
        </w:tc>
        <w:tc>
          <w:tcPr>
            <w:tcW w:type="dxa" w:w="2154"/>
            <w:vAlign w:val="center"/>
          </w:tcPr>
          <w:p>
            <w:pPr>
              <w:spacing w:after="0"/>
            </w:pPr>
            <w:r/>
            <w:r>
              <w:rPr>
                <w:b w:val="0"/>
                <w:sz w:val="18"/>
              </w:rPr>
              <w:t>BoT CDS → Holdings service</w:t>
            </w:r>
          </w:p>
        </w:tc>
        <w:tc>
          <w:tcPr>
            <w:tcW w:type="dxa" w:w="6576"/>
            <w:vAlign w:val="center"/>
          </w:tcPr>
          <w:p>
            <w:pPr>
              <w:spacing w:after="0"/>
            </w:pPr>
            <w:r/>
            <w:r>
              <w:rPr>
                <w:b w:val="0"/>
                <w:sz w:val="18"/>
              </w:rPr>
              <w:t>Receives confirmation that securities are credited to each investor's CDS account and updates the holdings mirror.</w:t>
            </w:r>
          </w:p>
        </w:tc>
      </w:tr>
      <w:tr>
        <w:tc>
          <w:tcPr>
            <w:tcW w:type="dxa" w:w="680"/>
            <w:vAlign w:val="center"/>
            <w:shd w:val="clear" w:color="auto" w:fill="F2F2F2"/>
          </w:tcPr>
          <w:p>
            <w:pPr>
              <w:spacing w:after="0"/>
            </w:pPr>
            <w:r/>
            <w:r>
              <w:rPr>
                <w:b w:val="0"/>
                <w:sz w:val="18"/>
              </w:rPr>
              <w:t>4</w:t>
            </w:r>
          </w:p>
        </w:tc>
        <w:tc>
          <w:tcPr>
            <w:tcW w:type="dxa" w:w="2154"/>
            <w:vAlign w:val="center"/>
            <w:shd w:val="clear" w:color="auto" w:fill="F2F2F2"/>
          </w:tcPr>
          <w:p>
            <w:pPr>
              <w:spacing w:after="0"/>
            </w:pPr>
            <w:r/>
            <w:r>
              <w:rPr>
                <w:b w:val="0"/>
                <w:sz w:val="18"/>
              </w:rPr>
              <w:t>Reconciliation job</w:t>
            </w:r>
          </w:p>
        </w:tc>
        <w:tc>
          <w:tcPr>
            <w:tcW w:type="dxa" w:w="6576"/>
            <w:vAlign w:val="center"/>
            <w:shd w:val="clear" w:color="auto" w:fill="F2F2F2"/>
          </w:tcPr>
          <w:p>
            <w:pPr>
              <w:spacing w:after="0"/>
            </w:pPr>
            <w:r/>
            <w:r>
              <w:rPr>
                <w:b w:val="0"/>
                <w:sz w:val="18"/>
              </w:rPr>
              <w:t>Three-way match: platform allocations ↔ CBS postings ↔ CDS holdings. Breaks go to an exceptions queue with an SLA.</w:t>
            </w:r>
          </w:p>
        </w:tc>
      </w:tr>
      <w:tr>
        <w:tc>
          <w:tcPr>
            <w:tcW w:type="dxa" w:w="680"/>
            <w:vAlign w:val="center"/>
          </w:tcPr>
          <w:p>
            <w:pPr>
              <w:spacing w:after="0"/>
            </w:pPr>
            <w:r/>
            <w:r>
              <w:rPr>
                <w:b w:val="0"/>
                <w:sz w:val="18"/>
              </w:rPr>
              <w:t>5</w:t>
            </w:r>
          </w:p>
        </w:tc>
        <w:tc>
          <w:tcPr>
            <w:tcW w:type="dxa" w:w="2154"/>
            <w:vAlign w:val="center"/>
          </w:tcPr>
          <w:p>
            <w:pPr>
              <w:spacing w:after="0"/>
            </w:pPr>
            <w:r/>
            <w:r>
              <w:rPr>
                <w:b w:val="0"/>
                <w:sz w:val="18"/>
              </w:rPr>
              <w:t>Notifications / Documents</w:t>
            </w:r>
          </w:p>
        </w:tc>
        <w:tc>
          <w:tcPr>
            <w:tcW w:type="dxa" w:w="6576"/>
            <w:vAlign w:val="center"/>
          </w:tcPr>
          <w:p>
            <w:pPr>
              <w:spacing w:after="0"/>
            </w:pPr>
            <w:r/>
            <w:r>
              <w:rPr>
                <w:b w:val="0"/>
                <w:sz w:val="18"/>
              </w:rPr>
              <w:t>Issues the settlement advice and investment confirmation. The portfolio view is updated.</w:t>
            </w:r>
          </w:p>
        </w:tc>
      </w:tr>
    </w:tbl>
    <w:p>
      <w:pPr>
        <w:spacing w:after="40"/>
      </w:pPr>
    </w:p>
    <w:p>
      <w:pPr>
        <w:jc w:val="center"/>
      </w:pPr>
      <w:r>
        <w:rPr>
          <w:i/>
          <w:color w:val="595959"/>
          <w:sz w:val="18"/>
        </w:rPr>
        <w:t>Table – Payment and settlement flow</w:t>
      </w:r>
    </w:p>
    <w:p>
      <w:pPr>
        <w:pStyle w:val="Heading2"/>
      </w:pPr>
      <w:r>
        <w:t>5.5 Coupons, Maturities and Rollovers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680"/>
        <w:gridCol w:w="2154"/>
        <w:gridCol w:w="6577"/>
      </w:tblGrid>
      <w:tr>
        <w:trPr>
          <w:tblHeader w:val="true"/>
        </w:trPr>
        <w:tc>
          <w:tcPr>
            <w:tcW w:type="dxa" w:w="680"/>
            <w:vAlign w:val="center"/>
            <w:shd w:val="clear" w:color="auto" w:fill="1F3864"/>
          </w:tcPr>
          <w:p>
            <w:pPr>
              <w:spacing w:after="0"/>
            </w:pPr>
            <w:r/>
            <w:r>
              <w:rPr>
                <w:b/>
                <w:color w:val="FFFFFF"/>
                <w:sz w:val="18"/>
              </w:rPr>
              <w:t>Step</w:t>
            </w:r>
          </w:p>
        </w:tc>
        <w:tc>
          <w:tcPr>
            <w:tcW w:type="dxa" w:w="2154"/>
            <w:vAlign w:val="center"/>
            <w:shd w:val="clear" w:color="auto" w:fill="1F3864"/>
          </w:tcPr>
          <w:p>
            <w:pPr>
              <w:spacing w:after="0"/>
            </w:pPr>
            <w:r/>
            <w:r>
              <w:rPr>
                <w:b/>
                <w:color w:val="FFFFFF"/>
                <w:sz w:val="18"/>
              </w:rPr>
              <w:t>Actor / System</w:t>
            </w:r>
          </w:p>
        </w:tc>
        <w:tc>
          <w:tcPr>
            <w:tcW w:type="dxa" w:w="6576"/>
            <w:vAlign w:val="center"/>
            <w:shd w:val="clear" w:color="auto" w:fill="1F3864"/>
          </w:tcPr>
          <w:p>
            <w:pPr>
              <w:spacing w:after="0"/>
            </w:pPr>
            <w:r/>
            <w:r>
              <w:rPr>
                <w:b/>
                <w:color w:val="FFFFFF"/>
                <w:sz w:val="18"/>
              </w:rPr>
              <w:t>Action</w:t>
            </w:r>
          </w:p>
        </w:tc>
      </w:tr>
      <w:tr>
        <w:tc>
          <w:tcPr>
            <w:tcW w:type="dxa" w:w="680"/>
            <w:vAlign w:val="center"/>
          </w:tcPr>
          <w:p>
            <w:pPr>
              <w:spacing w:after="0"/>
            </w:pPr>
            <w:r/>
            <w:r>
              <w:rPr>
                <w:b w:val="0"/>
                <w:sz w:val="18"/>
              </w:rPr>
              <w:t>1</w:t>
            </w:r>
          </w:p>
        </w:tc>
        <w:tc>
          <w:tcPr>
            <w:tcW w:type="dxa" w:w="2154"/>
            <w:vAlign w:val="center"/>
          </w:tcPr>
          <w:p>
            <w:pPr>
              <w:spacing w:after="0"/>
            </w:pPr>
            <w:r/>
            <w:r>
              <w:rPr>
                <w:b w:val="0"/>
                <w:sz w:val="18"/>
              </w:rPr>
              <w:t>Coupons service</w:t>
            </w:r>
          </w:p>
        </w:tc>
        <w:tc>
          <w:tcPr>
            <w:tcW w:type="dxa" w:w="6576"/>
            <w:vAlign w:val="center"/>
          </w:tcPr>
          <w:p>
            <w:pPr>
              <w:spacing w:after="0"/>
            </w:pPr>
            <w:r/>
            <w:r>
              <w:rPr>
                <w:b w:val="0"/>
                <w:sz w:val="18"/>
              </w:rPr>
              <w:t>Keeps coupon and maturity schedules per holding, based on BoT security data.</w:t>
            </w:r>
          </w:p>
        </w:tc>
      </w:tr>
      <w:tr>
        <w:tc>
          <w:tcPr>
            <w:tcW w:type="dxa" w:w="680"/>
            <w:vAlign w:val="center"/>
            <w:shd w:val="clear" w:color="auto" w:fill="F2F2F2"/>
          </w:tcPr>
          <w:p>
            <w:pPr>
              <w:spacing w:after="0"/>
            </w:pPr>
            <w:r/>
            <w:r>
              <w:rPr>
                <w:b w:val="0"/>
                <w:sz w:val="18"/>
              </w:rPr>
              <w:t>2</w:t>
            </w:r>
          </w:p>
        </w:tc>
        <w:tc>
          <w:tcPr>
            <w:tcW w:type="dxa" w:w="2154"/>
            <w:vAlign w:val="center"/>
            <w:shd w:val="clear" w:color="auto" w:fill="F2F2F2"/>
          </w:tcPr>
          <w:p>
            <w:pPr>
              <w:spacing w:after="0"/>
            </w:pPr>
            <w:r/>
            <w:r>
              <w:rPr>
                <w:b w:val="0"/>
                <w:sz w:val="18"/>
              </w:rPr>
              <w:t>BoT / CDS → Coupons service</w:t>
            </w:r>
          </w:p>
        </w:tc>
        <w:tc>
          <w:tcPr>
            <w:tcW w:type="dxa" w:w="6576"/>
            <w:vAlign w:val="center"/>
            <w:shd w:val="clear" w:color="auto" w:fill="F2F2F2"/>
          </w:tcPr>
          <w:p>
            <w:pPr>
              <w:spacing w:after="0"/>
            </w:pPr>
            <w:r/>
            <w:r>
              <w:rPr>
                <w:b w:val="0"/>
                <w:sz w:val="18"/>
              </w:rPr>
              <w:t>Receives the payment file or confirmation of coupon and redemption proceeds paid to TCB.</w:t>
            </w:r>
          </w:p>
        </w:tc>
      </w:tr>
      <w:tr>
        <w:tc>
          <w:tcPr>
            <w:tcW w:type="dxa" w:w="680"/>
            <w:vAlign w:val="center"/>
          </w:tcPr>
          <w:p>
            <w:pPr>
              <w:spacing w:after="0"/>
            </w:pPr>
            <w:r/>
            <w:r>
              <w:rPr>
                <w:b w:val="0"/>
                <w:sz w:val="18"/>
              </w:rPr>
              <w:t>3</w:t>
            </w:r>
          </w:p>
        </w:tc>
        <w:tc>
          <w:tcPr>
            <w:tcW w:type="dxa" w:w="2154"/>
            <w:vAlign w:val="center"/>
          </w:tcPr>
          <w:p>
            <w:pPr>
              <w:spacing w:after="0"/>
            </w:pPr>
            <w:r/>
            <w:r>
              <w:rPr>
                <w:b w:val="0"/>
                <w:sz w:val="18"/>
              </w:rPr>
              <w:t>Payments service → CBS</w:t>
            </w:r>
          </w:p>
        </w:tc>
        <w:tc>
          <w:tcPr>
            <w:tcW w:type="dxa" w:w="6576"/>
            <w:vAlign w:val="center"/>
          </w:tcPr>
          <w:p>
            <w:pPr>
              <w:spacing w:after="0"/>
            </w:pPr>
            <w:r/>
            <w:r>
              <w:rPr>
                <w:b w:val="0"/>
                <w:sz w:val="18"/>
              </w:rPr>
              <w:t>Credits each investor's account net of applicable taxes and fees, then notifies the investor.</w:t>
            </w:r>
          </w:p>
        </w:tc>
      </w:tr>
      <w:tr>
        <w:tc>
          <w:tcPr>
            <w:tcW w:type="dxa" w:w="680"/>
            <w:vAlign w:val="center"/>
            <w:shd w:val="clear" w:color="auto" w:fill="F2F2F2"/>
          </w:tcPr>
          <w:p>
            <w:pPr>
              <w:spacing w:after="0"/>
            </w:pPr>
            <w:r/>
            <w:r>
              <w:rPr>
                <w:b w:val="0"/>
                <w:sz w:val="18"/>
              </w:rPr>
              <w:t>4</w:t>
            </w:r>
          </w:p>
        </w:tc>
        <w:tc>
          <w:tcPr>
            <w:tcW w:type="dxa" w:w="2154"/>
            <w:vAlign w:val="center"/>
            <w:shd w:val="clear" w:color="auto" w:fill="F2F2F2"/>
          </w:tcPr>
          <w:p>
            <w:pPr>
              <w:spacing w:after="0"/>
            </w:pPr>
            <w:r/>
            <w:r>
              <w:rPr>
                <w:b w:val="0"/>
                <w:sz w:val="18"/>
              </w:rPr>
              <w:t>Investor (optional)</w:t>
            </w:r>
          </w:p>
        </w:tc>
        <w:tc>
          <w:tcPr>
            <w:tcW w:type="dxa" w:w="6576"/>
            <w:vAlign w:val="center"/>
            <w:shd w:val="clear" w:color="auto" w:fill="F2F2F2"/>
          </w:tcPr>
          <w:p>
            <w:pPr>
              <w:spacing w:after="0"/>
            </w:pPr>
            <w:r/>
            <w:r>
              <w:rPr>
                <w:b w:val="0"/>
                <w:sz w:val="18"/>
              </w:rPr>
              <w:t>Pre-instructs a rollover into the next auction of the same tenor. The platform auto-creates the bid with the held funds.</w:t>
            </w:r>
          </w:p>
        </w:tc>
      </w:tr>
    </w:tbl>
    <w:p>
      <w:pPr>
        <w:spacing w:after="40"/>
      </w:pPr>
    </w:p>
    <w:p>
      <w:pPr>
        <w:jc w:val="center"/>
      </w:pPr>
      <w:r>
        <w:rPr>
          <w:i/>
          <w:color w:val="595959"/>
          <w:sz w:val="18"/>
        </w:rPr>
        <w:t>Table – Coupon and maturity processing</w:t>
      </w:r>
    </w:p>
    <w:p>
      <w:pPr>
        <w:pStyle w:val="Heading2"/>
      </w:pPr>
      <w:r>
        <w:t>5.6 Sequence View: Bid to Settlement</w:t>
      </w:r>
    </w:p>
    <w:p>
      <w:r>
        <w:rPr>
          <w:i w:val="0"/>
        </w:rPr>
        <w:t>Figure 3 shows how the components interact across the four phases of an auction cycle. Solid arrows are requests or events; dashed arrows are responses or callbacks.</w:t>
      </w:r>
    </w:p>
    <w:p>
      <w:pPr>
        <w:keepNext/>
        <w:jc w:val="center"/>
      </w:pPr>
      <w:r>
        <w:drawing>
          <wp:inline xmlns:a="http://schemas.openxmlformats.org/drawingml/2006/main" xmlns:pic="http://schemas.openxmlformats.org/drawingml/2006/picture">
            <wp:extent cx="5580000" cy="6240300"/>
            <wp:docPr id="3" name="Picture 3"/>
            <wp:cNvGraphicFramePr>
              <a:graphicFrameLocks noChangeAspect="1"/>
            </wp:cNvGraphicFramePr>
            <a:graphic>
              <a:graphicData uri="http://schemas.openxmlformats.org/drawingml/2006/picture">
                <pic:pic>
                  <pic:nvPicPr>
                    <pic:cNvPr id="0" name="04_sequence.png"/>
                    <pic:cNvPicPr/>
                  </pic:nvPicPr>
                  <pic:blipFill>
                    <a:blip r:embed="rId13"/>
                    <a:stretch>
                      <a:fillRect/>
                    </a:stretch>
                  </pic:blipFill>
                  <pic:spPr>
                    <a:xfrm>
                      <a:off x="0" y="0"/>
                      <a:ext cx="5580000" cy="6240300"/>
                    </a:xfrm>
                    <a:prstGeom prst="rect"/>
                  </pic:spPr>
                </pic:pic>
              </a:graphicData>
            </a:graphic>
          </wp:inline>
        </w:drawing>
      </w:r>
    </w:p>
    <w:p>
      <w:pPr>
        <w:jc w:val="center"/>
      </w:pPr>
      <w:r>
        <w:rPr>
          <w:i/>
          <w:color w:val="595959"/>
          <w:sz w:val="18"/>
        </w:rPr>
        <w:t>Figure 3 – Bid-to-settlement sequence</w:t>
      </w:r>
    </w:p>
    <w:p>
      <w:pPr>
        <w:pStyle w:val="Heading2"/>
      </w:pPr>
      <w:r>
        <w:t>5.7 Bid Lifecycle States</w:t>
      </w:r>
    </w:p>
    <w:p>
      <w:r>
        <w:rPr>
          <w:i w:val="0"/>
        </w:rPr>
        <w:t>The bid is the central aggregate of the platform. Figure 4 shows its state machine, which is enforced by the Bidding service; every transition publishes an event.</w:t>
      </w:r>
    </w:p>
    <w:p>
      <w:pPr>
        <w:keepNext/>
        <w:jc w:val="center"/>
      </w:pPr>
      <w:r>
        <w:drawing>
          <wp:inline xmlns:a="http://schemas.openxmlformats.org/drawingml/2006/main" xmlns:pic="http://schemas.openxmlformats.org/drawingml/2006/picture">
            <wp:extent cx="5976000" cy="3393040"/>
            <wp:docPr id="4" name="Picture 4"/>
            <wp:cNvGraphicFramePr>
              <a:graphicFrameLocks noChangeAspect="1"/>
            </wp:cNvGraphicFramePr>
            <a:graphic>
              <a:graphicData uri="http://schemas.openxmlformats.org/drawingml/2006/picture">
                <pic:pic>
                  <pic:nvPicPr>
                    <pic:cNvPr id="0" name="05_states.png"/>
                    <pic:cNvPicPr/>
                  </pic:nvPicPr>
                  <pic:blipFill>
                    <a:blip r:embed="rId14"/>
                    <a:stretch>
                      <a:fillRect/>
                    </a:stretch>
                  </pic:blipFill>
                  <pic:spPr>
                    <a:xfrm>
                      <a:off x="0" y="0"/>
                      <a:ext cx="5976000" cy="3393040"/>
                    </a:xfrm>
                    <a:prstGeom prst="rect"/>
                  </pic:spPr>
                </pic:pic>
              </a:graphicData>
            </a:graphic>
          </wp:inline>
        </w:drawing>
      </w:r>
    </w:p>
    <w:p>
      <w:pPr>
        <w:jc w:val="center"/>
      </w:pPr>
      <w:r>
        <w:rPr>
          <w:i/>
          <w:color w:val="595959"/>
          <w:sz w:val="18"/>
        </w:rPr>
        <w:t>Figure 4 – Bid state machine</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381"/>
        <w:gridCol w:w="4309"/>
        <w:gridCol w:w="2721"/>
      </w:tblGrid>
      <w:tr>
        <w:trPr>
          <w:tblHeader w:val="true"/>
        </w:trPr>
        <w:tc>
          <w:tcPr>
            <w:tcW w:type="dxa" w:w="2381"/>
            <w:vAlign w:val="center"/>
            <w:shd w:val="clear" w:color="auto" w:fill="1F3864"/>
          </w:tcPr>
          <w:p>
            <w:pPr>
              <w:spacing w:after="0"/>
            </w:pPr>
            <w:r/>
            <w:r>
              <w:rPr>
                <w:b/>
                <w:color w:val="FFFFFF"/>
                <w:sz w:val="19"/>
              </w:rPr>
              <w:t>State</w:t>
            </w:r>
          </w:p>
        </w:tc>
        <w:tc>
          <w:tcPr>
            <w:tcW w:type="dxa" w:w="4309"/>
            <w:vAlign w:val="center"/>
            <w:shd w:val="clear" w:color="auto" w:fill="1F3864"/>
          </w:tcPr>
          <w:p>
            <w:pPr>
              <w:spacing w:after="0"/>
            </w:pPr>
            <w:r/>
            <w:r>
              <w:rPr>
                <w:b/>
                <w:color w:val="FFFFFF"/>
                <w:sz w:val="19"/>
              </w:rPr>
              <w:t>Meaning</w:t>
            </w:r>
          </w:p>
        </w:tc>
        <w:tc>
          <w:tcPr>
            <w:tcW w:type="dxa" w:w="2721"/>
            <w:vAlign w:val="center"/>
            <w:shd w:val="clear" w:color="auto" w:fill="1F3864"/>
          </w:tcPr>
          <w:p>
            <w:pPr>
              <w:spacing w:after="0"/>
            </w:pPr>
            <w:r/>
            <w:r>
              <w:rPr>
                <w:b/>
                <w:color w:val="FFFFFF"/>
                <w:sz w:val="19"/>
              </w:rPr>
              <w:t>Next states</w:t>
            </w:r>
          </w:p>
        </w:tc>
      </w:tr>
      <w:tr>
        <w:tc>
          <w:tcPr>
            <w:tcW w:type="dxa" w:w="2381"/>
            <w:vAlign w:val="center"/>
          </w:tcPr>
          <w:p>
            <w:pPr>
              <w:spacing w:after="0"/>
            </w:pPr>
            <w:r/>
            <w:r>
              <w:rPr>
                <w:b w:val="0"/>
                <w:sz w:val="19"/>
              </w:rPr>
              <w:t>DRAFT</w:t>
            </w:r>
          </w:p>
        </w:tc>
        <w:tc>
          <w:tcPr>
            <w:tcW w:type="dxa" w:w="4309"/>
            <w:vAlign w:val="center"/>
          </w:tcPr>
          <w:p>
            <w:pPr>
              <w:spacing w:after="0"/>
            </w:pPr>
            <w:r/>
            <w:r>
              <w:rPr>
                <w:b w:val="0"/>
                <w:sz w:val="19"/>
              </w:rPr>
              <w:t>Captured but not confirmed by the investor</w:t>
            </w:r>
          </w:p>
        </w:tc>
        <w:tc>
          <w:tcPr>
            <w:tcW w:type="dxa" w:w="2721"/>
            <w:vAlign w:val="center"/>
          </w:tcPr>
          <w:p>
            <w:pPr>
              <w:spacing w:after="0"/>
            </w:pPr>
            <w:r/>
            <w:r>
              <w:rPr>
                <w:b w:val="0"/>
                <w:sz w:val="19"/>
              </w:rPr>
              <w:t>SUBMITTED, ABANDONED</w:t>
            </w:r>
          </w:p>
        </w:tc>
      </w:tr>
      <w:tr>
        <w:tc>
          <w:tcPr>
            <w:tcW w:type="dxa" w:w="2381"/>
            <w:vAlign w:val="center"/>
            <w:shd w:val="clear" w:color="auto" w:fill="F2F2F2"/>
          </w:tcPr>
          <w:p>
            <w:pPr>
              <w:spacing w:after="0"/>
            </w:pPr>
            <w:r/>
            <w:r>
              <w:rPr>
                <w:b w:val="0"/>
                <w:sz w:val="19"/>
              </w:rPr>
              <w:t>SUBMITTED</w:t>
            </w:r>
          </w:p>
        </w:tc>
        <w:tc>
          <w:tcPr>
            <w:tcW w:type="dxa" w:w="4309"/>
            <w:vAlign w:val="center"/>
            <w:shd w:val="clear" w:color="auto" w:fill="F2F2F2"/>
          </w:tcPr>
          <w:p>
            <w:pPr>
              <w:spacing w:after="0"/>
            </w:pPr>
            <w:r/>
            <w:r>
              <w:rPr>
                <w:b w:val="0"/>
                <w:sz w:val="19"/>
              </w:rPr>
              <w:t>Confirmed by the investor; validation and funds hold in progress</w:t>
            </w:r>
          </w:p>
        </w:tc>
        <w:tc>
          <w:tcPr>
            <w:tcW w:type="dxa" w:w="2721"/>
            <w:vAlign w:val="center"/>
            <w:shd w:val="clear" w:color="auto" w:fill="F2F2F2"/>
          </w:tcPr>
          <w:p>
            <w:pPr>
              <w:spacing w:after="0"/>
            </w:pPr>
            <w:r/>
            <w:r>
              <w:rPr>
                <w:b w:val="0"/>
                <w:sz w:val="19"/>
              </w:rPr>
              <w:t>ACCEPTED, REJECTED</w:t>
            </w:r>
          </w:p>
        </w:tc>
      </w:tr>
      <w:tr>
        <w:tc>
          <w:tcPr>
            <w:tcW w:type="dxa" w:w="2381"/>
            <w:vAlign w:val="center"/>
          </w:tcPr>
          <w:p>
            <w:pPr>
              <w:spacing w:after="0"/>
            </w:pPr>
            <w:r/>
            <w:r>
              <w:rPr>
                <w:b w:val="0"/>
                <w:sz w:val="19"/>
              </w:rPr>
              <w:t>ACCEPTED</w:t>
            </w:r>
          </w:p>
        </w:tc>
        <w:tc>
          <w:tcPr>
            <w:tcW w:type="dxa" w:w="4309"/>
            <w:vAlign w:val="center"/>
          </w:tcPr>
          <w:p>
            <w:pPr>
              <w:spacing w:after="0"/>
            </w:pPr>
            <w:r/>
            <w:r>
              <w:rPr>
                <w:b w:val="0"/>
                <w:sz w:val="19"/>
              </w:rPr>
              <w:t>Valid and funds held; can be amended or withdrawn until cut-off</w:t>
            </w:r>
          </w:p>
        </w:tc>
        <w:tc>
          <w:tcPr>
            <w:tcW w:type="dxa" w:w="2721"/>
            <w:vAlign w:val="center"/>
          </w:tcPr>
          <w:p>
            <w:pPr>
              <w:spacing w:after="0"/>
            </w:pPr>
            <w:r/>
            <w:r>
              <w:rPr>
                <w:b w:val="0"/>
                <w:sz w:val="19"/>
              </w:rPr>
              <w:t>WITHDRAWN, SENT_TO_BOT</w:t>
            </w:r>
          </w:p>
        </w:tc>
      </w:tr>
      <w:tr>
        <w:tc>
          <w:tcPr>
            <w:tcW w:type="dxa" w:w="2381"/>
            <w:vAlign w:val="center"/>
            <w:shd w:val="clear" w:color="auto" w:fill="F2F2F2"/>
          </w:tcPr>
          <w:p>
            <w:pPr>
              <w:spacing w:after="0"/>
            </w:pPr>
            <w:r/>
            <w:r>
              <w:rPr>
                <w:b w:val="0"/>
                <w:sz w:val="19"/>
              </w:rPr>
              <w:t>SENT_TO_BOT</w:t>
            </w:r>
          </w:p>
        </w:tc>
        <w:tc>
          <w:tcPr>
            <w:tcW w:type="dxa" w:w="4309"/>
            <w:vAlign w:val="center"/>
            <w:shd w:val="clear" w:color="auto" w:fill="F2F2F2"/>
          </w:tcPr>
          <w:p>
            <w:pPr>
              <w:spacing w:after="0"/>
            </w:pPr>
            <w:r/>
            <w:r>
              <w:rPr>
                <w:b w:val="0"/>
                <w:sz w:val="19"/>
              </w:rPr>
              <w:t>Included in the consolidated submission and acknowledged by BoT</w:t>
            </w:r>
          </w:p>
        </w:tc>
        <w:tc>
          <w:tcPr>
            <w:tcW w:type="dxa" w:w="2721"/>
            <w:vAlign w:val="center"/>
            <w:shd w:val="clear" w:color="auto" w:fill="F2F2F2"/>
          </w:tcPr>
          <w:p>
            <w:pPr>
              <w:spacing w:after="0"/>
            </w:pPr>
            <w:r/>
            <w:r>
              <w:rPr>
                <w:b w:val="0"/>
                <w:sz w:val="19"/>
              </w:rPr>
              <w:t>ALLOCATED_FULL, ALLOCATED_PARTIAL, UNSUCCESSFUL</w:t>
            </w:r>
          </w:p>
        </w:tc>
      </w:tr>
      <w:tr>
        <w:tc>
          <w:tcPr>
            <w:tcW w:type="dxa" w:w="2381"/>
            <w:vAlign w:val="center"/>
          </w:tcPr>
          <w:p>
            <w:pPr>
              <w:spacing w:after="0"/>
            </w:pPr>
            <w:r/>
            <w:r>
              <w:rPr>
                <w:b w:val="0"/>
                <w:sz w:val="19"/>
              </w:rPr>
              <w:t>ALLOCATED_FULL / PARTIAL</w:t>
            </w:r>
          </w:p>
        </w:tc>
        <w:tc>
          <w:tcPr>
            <w:tcW w:type="dxa" w:w="4309"/>
            <w:vAlign w:val="center"/>
          </w:tcPr>
          <w:p>
            <w:pPr>
              <w:spacing w:after="0"/>
            </w:pPr>
            <w:r/>
            <w:r>
              <w:rPr>
                <w:b w:val="0"/>
                <w:sz w:val="19"/>
              </w:rPr>
              <w:t>Result received; settlement pending</w:t>
            </w:r>
          </w:p>
        </w:tc>
        <w:tc>
          <w:tcPr>
            <w:tcW w:type="dxa" w:w="2721"/>
            <w:vAlign w:val="center"/>
          </w:tcPr>
          <w:p>
            <w:pPr>
              <w:spacing w:after="0"/>
            </w:pPr>
            <w:r/>
            <w:r>
              <w:rPr>
                <w:b w:val="0"/>
                <w:sz w:val="19"/>
              </w:rPr>
              <w:t>SETTLED, SETTLEMENT_FAILED</w:t>
            </w:r>
          </w:p>
        </w:tc>
      </w:tr>
      <w:tr>
        <w:tc>
          <w:tcPr>
            <w:tcW w:type="dxa" w:w="2381"/>
            <w:vAlign w:val="center"/>
            <w:shd w:val="clear" w:color="auto" w:fill="F2F2F2"/>
          </w:tcPr>
          <w:p>
            <w:pPr>
              <w:spacing w:after="0"/>
            </w:pPr>
            <w:r/>
            <w:r>
              <w:rPr>
                <w:b w:val="0"/>
                <w:sz w:val="19"/>
              </w:rPr>
              <w:t>UNSUCCESSFUL</w:t>
            </w:r>
          </w:p>
        </w:tc>
        <w:tc>
          <w:tcPr>
            <w:tcW w:type="dxa" w:w="4309"/>
            <w:vAlign w:val="center"/>
            <w:shd w:val="clear" w:color="auto" w:fill="F2F2F2"/>
          </w:tcPr>
          <w:p>
            <w:pPr>
              <w:spacing w:after="0"/>
            </w:pPr>
            <w:r/>
            <w:r>
              <w:rPr>
                <w:b w:val="0"/>
                <w:sz w:val="19"/>
              </w:rPr>
              <w:t>Not allocated; hold released</w:t>
            </w:r>
          </w:p>
        </w:tc>
        <w:tc>
          <w:tcPr>
            <w:tcW w:type="dxa" w:w="2721"/>
            <w:vAlign w:val="center"/>
            <w:shd w:val="clear" w:color="auto" w:fill="F2F2F2"/>
          </w:tcPr>
          <w:p>
            <w:pPr>
              <w:spacing w:after="0"/>
            </w:pPr>
            <w:r/>
            <w:r>
              <w:rPr>
                <w:b w:val="0"/>
                <w:sz w:val="19"/>
              </w:rPr>
              <w:t>(terminal)</w:t>
            </w:r>
          </w:p>
        </w:tc>
      </w:tr>
      <w:tr>
        <w:tc>
          <w:tcPr>
            <w:tcW w:type="dxa" w:w="2381"/>
            <w:vAlign w:val="center"/>
          </w:tcPr>
          <w:p>
            <w:pPr>
              <w:spacing w:after="0"/>
            </w:pPr>
            <w:r/>
            <w:r>
              <w:rPr>
                <w:b w:val="0"/>
                <w:sz w:val="19"/>
              </w:rPr>
              <w:t>SETTLED</w:t>
            </w:r>
          </w:p>
        </w:tc>
        <w:tc>
          <w:tcPr>
            <w:tcW w:type="dxa" w:w="4309"/>
            <w:vAlign w:val="center"/>
          </w:tcPr>
          <w:p>
            <w:pPr>
              <w:spacing w:after="0"/>
            </w:pPr>
            <w:r/>
            <w:r>
              <w:rPr>
                <w:b w:val="0"/>
                <w:sz w:val="19"/>
              </w:rPr>
              <w:t>Paid and credited in CDS</w:t>
            </w:r>
          </w:p>
        </w:tc>
        <w:tc>
          <w:tcPr>
            <w:tcW w:type="dxa" w:w="2721"/>
            <w:vAlign w:val="center"/>
          </w:tcPr>
          <w:p>
            <w:pPr>
              <w:spacing w:after="0"/>
            </w:pPr>
            <w:r/>
            <w:r>
              <w:rPr>
                <w:b w:val="0"/>
                <w:sz w:val="19"/>
              </w:rPr>
              <w:t>MATURED (via holding)</w:t>
            </w:r>
          </w:p>
        </w:tc>
      </w:tr>
      <w:tr>
        <w:tc>
          <w:tcPr>
            <w:tcW w:type="dxa" w:w="2381"/>
            <w:vAlign w:val="center"/>
            <w:shd w:val="clear" w:color="auto" w:fill="F2F2F2"/>
          </w:tcPr>
          <w:p>
            <w:pPr>
              <w:spacing w:after="0"/>
            </w:pPr>
            <w:r/>
            <w:r>
              <w:rPr>
                <w:b w:val="0"/>
                <w:sz w:val="19"/>
              </w:rPr>
              <w:t>SETTLEMENT_FAILED</w:t>
            </w:r>
          </w:p>
        </w:tc>
        <w:tc>
          <w:tcPr>
            <w:tcW w:type="dxa" w:w="4309"/>
            <w:vAlign w:val="center"/>
            <w:shd w:val="clear" w:color="auto" w:fill="F2F2F2"/>
          </w:tcPr>
          <w:p>
            <w:pPr>
              <w:spacing w:after="0"/>
            </w:pPr>
            <w:r/>
            <w:r>
              <w:rPr>
                <w:b w:val="0"/>
                <w:sz w:val="19"/>
              </w:rPr>
              <w:t>Exception; routed to operations for resolution</w:t>
            </w:r>
          </w:p>
        </w:tc>
        <w:tc>
          <w:tcPr>
            <w:tcW w:type="dxa" w:w="2721"/>
            <w:vAlign w:val="center"/>
            <w:shd w:val="clear" w:color="auto" w:fill="F2F2F2"/>
          </w:tcPr>
          <w:p>
            <w:pPr>
              <w:spacing w:after="0"/>
            </w:pPr>
            <w:r/>
            <w:r>
              <w:rPr>
                <w:b w:val="0"/>
                <w:sz w:val="19"/>
              </w:rPr>
              <w:t>SETTLED, REVERSED</w:t>
            </w:r>
          </w:p>
        </w:tc>
      </w:tr>
    </w:tbl>
    <w:p>
      <w:pPr>
        <w:spacing w:after="40"/>
      </w:pPr>
    </w:p>
    <w:p>
      <w:pPr>
        <w:pStyle w:val="Heading1"/>
      </w:pPr>
      <w:r>
        <w:t>6. Investor Channel Architecture</w:t>
      </w:r>
    </w:p>
    <w:p>
      <w:pPr>
        <w:pStyle w:val="Heading2"/>
      </w:pPr>
      <w:r>
        <w:t>6.1 USSD Channel</w:t>
      </w:r>
    </w:p>
    <w:p>
      <w:pPr>
        <w:pStyle w:val="ListBullet"/>
        <w:spacing w:after="40"/>
      </w:pPr>
      <w:r>
        <w:t>A dedicated short code (e.g. *150*xx#) is connected through a licensed USSD aggregator to all major MNOs (Vodacom, Airtel, Tigo/Yas, Halotel, TTCL).</w:t>
      </w:r>
    </w:p>
    <w:p>
      <w:pPr>
        <w:pStyle w:val="ListBullet"/>
        <w:spacing w:after="40"/>
      </w:pPr>
      <w:r>
        <w:t>The USSD BFF keeps session state in Redis and stays within MNO session timeouts (typically 120–180 seconds). Menus are short and have a "resume" option.</w:t>
      </w:r>
    </w:p>
    <w:p>
      <w:pPr>
        <w:pStyle w:val="ListBullet"/>
        <w:spacing w:after="40"/>
      </w:pPr>
      <w:r>
        <w:t>Functions: register, check CDS status, view open auctions, place and withdraw a non-competitive bid, view results and holdings, change PIN, and request a mini statement.</w:t>
      </w:r>
    </w:p>
    <w:p>
      <w:pPr>
        <w:pStyle w:val="ListBullet"/>
        <w:spacing w:after="40"/>
      </w:pPr>
      <w:r>
        <w:t>Competitive bids are limited to simple price entry (with the equivalent yield shown) with a confirmation screen showing the total amount and fees.</w:t>
      </w:r>
    </w:p>
    <w:p>
      <w:pPr>
        <w:pStyle w:val="ListBullet"/>
        <w:spacing w:after="40"/>
      </w:pPr>
      <w:r>
        <w:t>Security: a 4–6 digit PIN (hashed with an HSM-backed key), SIM-swap check via the MNO API where available, a lockout policy, and transaction limits per session and per day.</w:t>
      </w:r>
    </w:p>
    <w:p>
      <w:pPr>
        <w:pStyle w:val="ListBullet"/>
        <w:spacing w:after="40"/>
      </w:pPr>
      <w:r>
        <w:t>Kiswahili is the default, with English available.</w:t>
      </w:r>
    </w:p>
    <w:p>
      <w:pPr>
        <w:spacing w:after="0"/>
      </w:pPr>
    </w:p>
    <w:p>
      <w:pPr>
        <w:pStyle w:val="Heading2"/>
      </w:pPr>
      <w:r>
        <w:t>6.2 Chatbot Channel</w:t>
      </w:r>
    </w:p>
    <w:p>
      <w:pPr>
        <w:pStyle w:val="ListBullet"/>
        <w:spacing w:after="40"/>
      </w:pPr>
      <w:r>
        <w:t>Available on WhatsApp Business Platform (official Meta BSP) and as a web chat widget on the portal and mobile app.</w:t>
      </w:r>
    </w:p>
    <w:p>
      <w:pPr>
        <w:pStyle w:val="ListBullet"/>
        <w:spacing w:after="40"/>
      </w:pPr>
      <w:r>
        <w:t>A conversational engine (e.g. Rasa or an equivalent NLU running on-premise) handles intents: learn about T-Bills/T-Bonds, auction dates, yield calculator, onboarding guidance, bid status, results and holdings.</w:t>
      </w:r>
    </w:p>
    <w:p>
      <w:pPr>
        <w:pStyle w:val="ListBullet"/>
        <w:spacing w:after="40"/>
      </w:pPr>
      <w:r>
        <w:t>Transactions require step-up authentication (OTP or a deep-link to the app or web). Sensitive data is masked in chat transcripts.</w:t>
      </w:r>
    </w:p>
    <w:p>
      <w:pPr>
        <w:pStyle w:val="ListBullet"/>
        <w:spacing w:after="40"/>
      </w:pPr>
      <w:r>
        <w:t>Unresolved queries are handed over to TCB contact-centre agents, with the conversation context passed along.</w:t>
      </w:r>
    </w:p>
    <w:p>
      <w:pPr>
        <w:pStyle w:val="ListBullet"/>
        <w:spacing w:after="40"/>
      </w:pPr>
      <w:r>
        <w:t>Content is managed by TCB (FAQs, market education) through a CMS, so updates need no code release.</w:t>
      </w:r>
    </w:p>
    <w:p>
      <w:pPr>
        <w:spacing w:after="0"/>
      </w:pPr>
    </w:p>
    <w:p>
      <w:pPr>
        <w:pStyle w:val="Heading2"/>
      </w:pPr>
      <w:r>
        <w:t>6.3 Web Portal</w:t>
      </w:r>
    </w:p>
    <w:p>
      <w:pPr>
        <w:pStyle w:val="ListBullet"/>
        <w:spacing w:after="40"/>
      </w:pPr>
      <w:r>
        <w:t>A responsive single-page application (React/Angular) that meets WCAG 2.1 AA, is bilingual, and is served through a CDN/WAF at the DMZ.</w:t>
      </w:r>
    </w:p>
    <w:p>
      <w:pPr>
        <w:pStyle w:val="ListBullet"/>
        <w:spacing w:after="40"/>
      </w:pPr>
      <w:r>
        <w:t>Covers the full investor journey: onboarding with document upload, the auction calendar, competitive and non-competitive bidding, a yield/price calculator, portfolio and statements, downloadable confirmations, and profile and notification preferences.</w:t>
      </w:r>
    </w:p>
    <w:p>
      <w:pPr>
        <w:pStyle w:val="ListBullet"/>
        <w:spacing w:after="40"/>
      </w:pPr>
      <w:r>
        <w:t>A corporate and institutional mode adds multi-user mandates (initiator and approver), bulk bid upload (CSV/Excel) and API keys for integrated clients.</w:t>
      </w:r>
    </w:p>
    <w:p>
      <w:pPr>
        <w:pStyle w:val="ListBullet"/>
        <w:spacing w:after="40"/>
      </w:pPr>
      <w:r>
        <w:t>Authentication is OIDC with MFA (OTP or authenticator app), protected by session timeouts and CSRF/CSP headers.</w:t>
      </w:r>
    </w:p>
    <w:p>
      <w:pPr>
        <w:spacing w:after="0"/>
      </w:pPr>
    </w:p>
    <w:p>
      <w:pPr>
        <w:pStyle w:val="Heading2"/>
      </w:pPr>
      <w:r>
        <w:t>6.4 Mobile Application</w:t>
      </w:r>
    </w:p>
    <w:p>
      <w:pPr>
        <w:pStyle w:val="ListBullet"/>
        <w:spacing w:after="40"/>
      </w:pPr>
      <w:r>
        <w:t>Native-performance cross-platform app (Flutter or React Native) for Android and iOS, published under TCB's store accounts.</w:t>
      </w:r>
    </w:p>
    <w:p>
      <w:pPr>
        <w:pStyle w:val="ListBullet"/>
        <w:spacing w:after="40"/>
      </w:pPr>
      <w:r>
        <w:t>Device binding at first login, biometric authentication (fingerprint/Face ID), and secure storage in Keystore/Keychain.</w:t>
      </w:r>
    </w:p>
    <w:p>
      <w:pPr>
        <w:pStyle w:val="ListBullet"/>
        <w:spacing w:after="40"/>
      </w:pPr>
      <w:r>
        <w:t>Protected by certificate pinning, root/jailbreak detection, code obfuscation and RASP, and tested against OWASP MASVS L2.</w:t>
      </w:r>
    </w:p>
    <w:p>
      <w:pPr>
        <w:pStyle w:val="ListBullet"/>
        <w:spacing w:after="40"/>
      </w:pPr>
      <w:r>
        <w:t>Push notifications for auctions and results, in-app chatbot, portfolio dashboard, and an offline-tolerant read cache for holdings.</w:t>
      </w:r>
    </w:p>
    <w:p>
      <w:pPr>
        <w:pStyle w:val="ListBullet"/>
        <w:spacing w:after="40"/>
      </w:pPr>
      <w:r>
        <w:t>Can also be embedded as a module in the existing TCB mobile banking app to reuse the customer base (open issue OI-05).</w:t>
      </w:r>
    </w:p>
    <w:p>
      <w:pPr>
        <w:spacing w:after="0"/>
      </w:pPr>
    </w:p>
    <w:p>
      <w:pPr>
        <w:pStyle w:val="Heading2"/>
      </w:pPr>
      <w:r>
        <w:t>6.5 Staff and BoT Portals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041"/>
        <w:gridCol w:w="2608"/>
        <w:gridCol w:w="4762"/>
      </w:tblGrid>
      <w:tr>
        <w:trPr>
          <w:tblHeader w:val="true"/>
        </w:trPr>
        <w:tc>
          <w:tcPr>
            <w:tcW w:type="dxa" w:w="2041"/>
            <w:vAlign w:val="center"/>
            <w:shd w:val="clear" w:color="auto" w:fill="1F3864"/>
          </w:tcPr>
          <w:p>
            <w:pPr>
              <w:spacing w:after="0"/>
            </w:pPr>
            <w:r/>
            <w:r>
              <w:rPr>
                <w:b/>
                <w:color w:val="FFFFFF"/>
                <w:sz w:val="19"/>
              </w:rPr>
              <w:t>Portal</w:t>
            </w:r>
          </w:p>
        </w:tc>
        <w:tc>
          <w:tcPr>
            <w:tcW w:type="dxa" w:w="2608"/>
            <w:vAlign w:val="center"/>
            <w:shd w:val="clear" w:color="auto" w:fill="1F3864"/>
          </w:tcPr>
          <w:p>
            <w:pPr>
              <w:spacing w:after="0"/>
            </w:pPr>
            <w:r/>
            <w:r>
              <w:rPr>
                <w:b/>
                <w:color w:val="FFFFFF"/>
                <w:sz w:val="19"/>
              </w:rPr>
              <w:t>Users</w:t>
            </w:r>
          </w:p>
        </w:tc>
        <w:tc>
          <w:tcPr>
            <w:tcW w:type="dxa" w:w="4762"/>
            <w:vAlign w:val="center"/>
            <w:shd w:val="clear" w:color="auto" w:fill="1F3864"/>
          </w:tcPr>
          <w:p>
            <w:pPr>
              <w:spacing w:after="0"/>
            </w:pPr>
            <w:r/>
            <w:r>
              <w:rPr>
                <w:b/>
                <w:color w:val="FFFFFF"/>
                <w:sz w:val="19"/>
              </w:rPr>
              <w:t>Key functions</w:t>
            </w:r>
          </w:p>
        </w:tc>
      </w:tr>
      <w:tr>
        <w:tc>
          <w:tcPr>
            <w:tcW w:type="dxa" w:w="2041"/>
            <w:vAlign w:val="center"/>
          </w:tcPr>
          <w:p>
            <w:pPr>
              <w:spacing w:after="0"/>
            </w:pPr>
            <w:r/>
            <w:r>
              <w:rPr>
                <w:b w:val="0"/>
                <w:sz w:val="19"/>
              </w:rPr>
              <w:t>Back-Office Portal</w:t>
            </w:r>
          </w:p>
        </w:tc>
        <w:tc>
          <w:tcPr>
            <w:tcW w:type="dxa" w:w="2608"/>
            <w:vAlign w:val="center"/>
          </w:tcPr>
          <w:p>
            <w:pPr>
              <w:spacing w:after="0"/>
            </w:pPr>
            <w:r/>
            <w:r>
              <w:rPr>
                <w:b w:val="0"/>
                <w:sz w:val="19"/>
              </w:rPr>
              <w:t>TCB Operations, Treasury, Compliance, Customer Service, ICT admins</w:t>
            </w:r>
          </w:p>
        </w:tc>
        <w:tc>
          <w:tcPr>
            <w:tcW w:type="dxa" w:w="4762"/>
            <w:vAlign w:val="center"/>
          </w:tcPr>
          <w:p>
            <w:pPr>
              <w:spacing w:after="0"/>
            </w:pPr>
            <w:r/>
            <w:r>
              <w:rPr>
                <w:b w:val="0"/>
                <w:sz w:val="19"/>
              </w:rPr>
              <w:t>KYC exception queues, CDS account tracking, auction setup and cut-off control, bid consolidation and maker-checker submission, results upload/validation, settlement and reconciliation workbench, fee/rule configuration, customer 360, complaint handling</w:t>
            </w:r>
          </w:p>
        </w:tc>
      </w:tr>
      <w:tr>
        <w:tc>
          <w:tcPr>
            <w:tcW w:type="dxa" w:w="2041"/>
            <w:vAlign w:val="center"/>
            <w:shd w:val="clear" w:color="auto" w:fill="F2F2F2"/>
          </w:tcPr>
          <w:p>
            <w:pPr>
              <w:spacing w:after="0"/>
            </w:pPr>
            <w:r/>
            <w:r>
              <w:rPr>
                <w:b w:val="0"/>
                <w:sz w:val="19"/>
              </w:rPr>
              <w:t>BoT Oversight Portal</w:t>
            </w:r>
          </w:p>
        </w:tc>
        <w:tc>
          <w:tcPr>
            <w:tcW w:type="dxa" w:w="2608"/>
            <w:vAlign w:val="center"/>
            <w:shd w:val="clear" w:color="auto" w:fill="F2F2F2"/>
          </w:tcPr>
          <w:p>
            <w:pPr>
              <w:spacing w:after="0"/>
            </w:pPr>
            <w:r/>
            <w:r>
              <w:rPr>
                <w:b w:val="0"/>
                <w:sz w:val="19"/>
              </w:rPr>
              <w:t>Authorised BoT officers (read-only)</w:t>
            </w:r>
          </w:p>
        </w:tc>
        <w:tc>
          <w:tcPr>
            <w:tcW w:type="dxa" w:w="4762"/>
            <w:vAlign w:val="center"/>
            <w:shd w:val="clear" w:color="auto" w:fill="F2F2F2"/>
          </w:tcPr>
          <w:p>
            <w:pPr>
              <w:spacing w:after="0"/>
            </w:pPr>
            <w:r/>
            <w:r>
              <w:rPr>
                <w:b w:val="0"/>
                <w:sz w:val="19"/>
              </w:rPr>
              <w:t>Real-time participation dashboards, bid and allocation statistics by channel, region, investor type and gender, settlement status, compliance and exception reports, and data export</w:t>
            </w:r>
          </w:p>
        </w:tc>
      </w:tr>
    </w:tbl>
    <w:p>
      <w:pPr>
        <w:spacing w:after="40"/>
      </w:pPr>
    </w:p>
    <w:p>
      <w:pPr>
        <w:pStyle w:val="Heading1"/>
      </w:pPr>
      <w:r>
        <w:t>7. Integration Architecture</w:t>
      </w:r>
    </w:p>
    <w:p>
      <w:r>
        <w:rPr>
          <w:i w:val="0"/>
        </w:rPr>
        <w:t>All external communication goes through dedicated adapters in the integration layer (Figure 5). Core services never call TCB, BoT or third-party systems directly.</w:t>
      </w:r>
    </w:p>
    <w:p>
      <w:pPr>
        <w:keepNext/>
        <w:jc w:val="center"/>
      </w:pPr>
      <w:r>
        <w:drawing>
          <wp:inline xmlns:a="http://schemas.openxmlformats.org/drawingml/2006/main" xmlns:pic="http://schemas.openxmlformats.org/drawingml/2006/picture">
            <wp:extent cx="5976000" cy="3751600"/>
            <wp:docPr id="5" name="Picture 5"/>
            <wp:cNvGraphicFramePr>
              <a:graphicFrameLocks noChangeAspect="1"/>
            </wp:cNvGraphicFramePr>
            <a:graphic>
              <a:graphicData uri="http://schemas.openxmlformats.org/drawingml/2006/picture">
                <pic:pic>
                  <pic:nvPicPr>
                    <pic:cNvPr id="0" name="03_integration.png"/>
                    <pic:cNvPicPr/>
                  </pic:nvPicPr>
                  <pic:blipFill>
                    <a:blip r:embed="rId15"/>
                    <a:stretch>
                      <a:fillRect/>
                    </a:stretch>
                  </pic:blipFill>
                  <pic:spPr>
                    <a:xfrm>
                      <a:off x="0" y="0"/>
                      <a:ext cx="5976000" cy="3751600"/>
                    </a:xfrm>
                    <a:prstGeom prst="rect"/>
                  </pic:spPr>
                </pic:pic>
              </a:graphicData>
            </a:graphic>
          </wp:inline>
        </w:drawing>
      </w:r>
    </w:p>
    <w:p>
      <w:pPr>
        <w:jc w:val="center"/>
      </w:pPr>
      <w:r>
        <w:rPr>
          <w:i/>
          <w:color w:val="595959"/>
          <w:sz w:val="18"/>
        </w:rPr>
        <w:t>Figure 5 – Integration architecture</w:t>
      </w:r>
    </w:p>
    <w:p>
      <w:pPr>
        <w:pStyle w:val="Heading2"/>
      </w:pPr>
      <w:r>
        <w:t>7.1 Integration Patterns</w:t>
      </w:r>
    </w:p>
    <w:p>
      <w:pPr>
        <w:pStyle w:val="ListBullet"/>
        <w:spacing w:after="40"/>
      </w:pPr>
      <w:r>
        <w:rPr>
          <w:b/>
        </w:rPr>
        <w:t xml:space="preserve">Synchronous APIs (REST/JSON or ISO 20022 XML over HTTPS with mTLS) </w:t>
      </w:r>
      <w:r>
        <w:t>for real-time calls such as balance enquiry, funds hold, NIDA lookup and CDS enquiries.</w:t>
      </w:r>
    </w:p>
    <w:p>
      <w:pPr>
        <w:pStyle w:val="ListBullet"/>
        <w:spacing w:after="40"/>
      </w:pPr>
      <w:r>
        <w:rPr>
          <w:b/>
        </w:rPr>
        <w:t xml:space="preserve">Asynchronous messaging (Kafka / message queue) </w:t>
      </w:r>
      <w:r>
        <w:t>for internal events and for buffering calls to external systems during peaks or outages.</w:t>
      </w:r>
    </w:p>
    <w:p>
      <w:pPr>
        <w:pStyle w:val="ListBullet"/>
        <w:spacing w:after="40"/>
      </w:pPr>
      <w:r>
        <w:rPr>
          <w:b/>
        </w:rPr>
        <w:t xml:space="preserve">Secure file transfer (SFTP with PGP) </w:t>
      </w:r>
      <w:r>
        <w:t>as the fallback or primary channel wherever BoT or CDS interfaces are file-based, such as bid submission files and results files.</w:t>
      </w:r>
    </w:p>
    <w:p>
      <w:pPr>
        <w:pStyle w:val="ListBullet"/>
        <w:spacing w:after="40"/>
      </w:pPr>
      <w:r>
        <w:rPr>
          <w:b/>
        </w:rPr>
        <w:t xml:space="preserve">Transactional outbox and idempotency keys </w:t>
      </w:r>
      <w:r>
        <w:t>on every financial instruction, so a retry never creates a duplicate hold, debit or bid.</w:t>
      </w:r>
    </w:p>
    <w:p>
      <w:pPr>
        <w:pStyle w:val="ListBullet"/>
        <w:spacing w:after="40"/>
      </w:pPr>
      <w:r>
        <w:rPr>
          <w:b/>
        </w:rPr>
        <w:t xml:space="preserve">Circuit breakers, retries with back-off and dead-letter queues </w:t>
      </w:r>
      <w:r>
        <w:t>with alerts to operations.</w:t>
      </w:r>
    </w:p>
    <w:p>
      <w:pPr>
        <w:pStyle w:val="ListBullet"/>
        <w:spacing w:after="40"/>
      </w:pPr>
      <w:r>
        <w:rPr>
          <w:b/>
        </w:rPr>
        <w:t xml:space="preserve">Contract tests and sandbox simulators </w:t>
      </w:r>
      <w:r>
        <w:t>for each external interface, so development continues before BoT/CBS sandbox access is granted.</w:t>
      </w:r>
    </w:p>
    <w:p>
      <w:pPr>
        <w:spacing w:after="0"/>
      </w:pPr>
    </w:p>
    <w:p>
      <w:pPr>
        <w:pStyle w:val="Heading2"/>
      </w:pPr>
      <w:r>
        <w:t>7.2 Interface Catalogue</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793"/>
        <w:gridCol w:w="1871"/>
        <w:gridCol w:w="2608"/>
        <w:gridCol w:w="2381"/>
        <w:gridCol w:w="1757"/>
      </w:tblGrid>
      <w:tr>
        <w:trPr>
          <w:tblHeader w:val="true"/>
        </w:trPr>
        <w:tc>
          <w:tcPr>
            <w:tcW w:type="dxa" w:w="794"/>
            <w:vAlign w:val="center"/>
            <w:shd w:val="clear" w:color="auto" w:fill="1F3864"/>
          </w:tcPr>
          <w:p>
            <w:pPr>
              <w:spacing w:after="0"/>
            </w:pPr>
            <w:r/>
            <w:r>
              <w:rPr>
                <w:b/>
                <w:color w:val="FFFFFF"/>
                <w:sz w:val="17"/>
              </w:rPr>
              <w:t>ID</w:t>
            </w:r>
          </w:p>
        </w:tc>
        <w:tc>
          <w:tcPr>
            <w:tcW w:type="dxa" w:w="1871"/>
            <w:vAlign w:val="center"/>
            <w:shd w:val="clear" w:color="auto" w:fill="1F3864"/>
          </w:tcPr>
          <w:p>
            <w:pPr>
              <w:spacing w:after="0"/>
            </w:pPr>
            <w:r/>
            <w:r>
              <w:rPr>
                <w:b/>
                <w:color w:val="FFFFFF"/>
                <w:sz w:val="17"/>
              </w:rPr>
              <w:t>External system</w:t>
            </w:r>
          </w:p>
        </w:tc>
        <w:tc>
          <w:tcPr>
            <w:tcW w:type="dxa" w:w="2608"/>
            <w:vAlign w:val="center"/>
            <w:shd w:val="clear" w:color="auto" w:fill="1F3864"/>
          </w:tcPr>
          <w:p>
            <w:pPr>
              <w:spacing w:after="0"/>
            </w:pPr>
            <w:r/>
            <w:r>
              <w:rPr>
                <w:b/>
                <w:color w:val="FFFFFF"/>
                <w:sz w:val="17"/>
              </w:rPr>
              <w:t>Purpose</w:t>
            </w:r>
          </w:p>
        </w:tc>
        <w:tc>
          <w:tcPr>
            <w:tcW w:type="dxa" w:w="2381"/>
            <w:vAlign w:val="center"/>
            <w:shd w:val="clear" w:color="auto" w:fill="1F3864"/>
          </w:tcPr>
          <w:p>
            <w:pPr>
              <w:spacing w:after="0"/>
            </w:pPr>
            <w:r/>
            <w:r>
              <w:rPr>
                <w:b/>
                <w:color w:val="FFFFFF"/>
                <w:sz w:val="17"/>
              </w:rPr>
              <w:t>Pattern / protocol</w:t>
            </w:r>
          </w:p>
        </w:tc>
        <w:tc>
          <w:tcPr>
            <w:tcW w:type="dxa" w:w="1757"/>
            <w:vAlign w:val="center"/>
            <w:shd w:val="clear" w:color="auto" w:fill="1F3864"/>
          </w:tcPr>
          <w:p>
            <w:pPr>
              <w:spacing w:after="0"/>
            </w:pPr>
            <w:r/>
            <w:r>
              <w:rPr>
                <w:b/>
                <w:color w:val="FFFFFF"/>
                <w:sz w:val="17"/>
              </w:rPr>
              <w:t>Frequency</w:t>
            </w:r>
          </w:p>
        </w:tc>
      </w:tr>
      <w:tr>
        <w:tc>
          <w:tcPr>
            <w:tcW w:type="dxa" w:w="794"/>
            <w:vAlign w:val="center"/>
          </w:tcPr>
          <w:p>
            <w:pPr>
              <w:spacing w:after="0"/>
            </w:pPr>
            <w:r/>
            <w:r>
              <w:rPr>
                <w:b w:val="0"/>
                <w:sz w:val="17"/>
              </w:rPr>
              <w:t>INT-01</w:t>
            </w:r>
          </w:p>
        </w:tc>
        <w:tc>
          <w:tcPr>
            <w:tcW w:type="dxa" w:w="1871"/>
            <w:vAlign w:val="center"/>
          </w:tcPr>
          <w:p>
            <w:pPr>
              <w:spacing w:after="0"/>
            </w:pPr>
            <w:r/>
            <w:r>
              <w:rPr>
                <w:b w:val="0"/>
                <w:sz w:val="17"/>
              </w:rPr>
              <w:t>TCB Core Banking</w:t>
            </w:r>
          </w:p>
        </w:tc>
        <w:tc>
          <w:tcPr>
            <w:tcW w:type="dxa" w:w="2608"/>
            <w:vAlign w:val="center"/>
          </w:tcPr>
          <w:p>
            <w:pPr>
              <w:spacing w:after="0"/>
            </w:pPr>
            <w:r/>
            <w:r>
              <w:rPr>
                <w:b w:val="0"/>
                <w:sz w:val="17"/>
              </w:rPr>
              <w:t>Customer/CIF lookup, account opening, balance enquiry</w:t>
            </w:r>
          </w:p>
        </w:tc>
        <w:tc>
          <w:tcPr>
            <w:tcW w:type="dxa" w:w="2381"/>
            <w:vAlign w:val="center"/>
          </w:tcPr>
          <w:p>
            <w:pPr>
              <w:spacing w:after="0"/>
            </w:pPr>
            <w:r/>
            <w:r>
              <w:rPr>
                <w:b w:val="0"/>
                <w:sz w:val="17"/>
              </w:rPr>
              <w:t>REST/SOAP via TCB API gateway / ESB</w:t>
            </w:r>
          </w:p>
        </w:tc>
        <w:tc>
          <w:tcPr>
            <w:tcW w:type="dxa" w:w="1757"/>
            <w:vAlign w:val="center"/>
          </w:tcPr>
          <w:p>
            <w:pPr>
              <w:spacing w:after="0"/>
            </w:pPr>
            <w:r/>
            <w:r>
              <w:rPr>
                <w:b w:val="0"/>
                <w:sz w:val="17"/>
              </w:rPr>
              <w:t>Real-time</w:t>
            </w:r>
          </w:p>
        </w:tc>
      </w:tr>
      <w:tr>
        <w:tc>
          <w:tcPr>
            <w:tcW w:type="dxa" w:w="794"/>
            <w:vAlign w:val="center"/>
            <w:shd w:val="clear" w:color="auto" w:fill="F2F2F2"/>
          </w:tcPr>
          <w:p>
            <w:pPr>
              <w:spacing w:after="0"/>
            </w:pPr>
            <w:r/>
            <w:r>
              <w:rPr>
                <w:b w:val="0"/>
                <w:sz w:val="17"/>
              </w:rPr>
              <w:t>INT-02</w:t>
            </w:r>
          </w:p>
        </w:tc>
        <w:tc>
          <w:tcPr>
            <w:tcW w:type="dxa" w:w="1871"/>
            <w:vAlign w:val="center"/>
            <w:shd w:val="clear" w:color="auto" w:fill="F2F2F2"/>
          </w:tcPr>
          <w:p>
            <w:pPr>
              <w:spacing w:after="0"/>
            </w:pPr>
            <w:r/>
            <w:r>
              <w:rPr>
                <w:b w:val="0"/>
                <w:sz w:val="17"/>
              </w:rPr>
              <w:t>TCB Core Banking</w:t>
            </w:r>
          </w:p>
        </w:tc>
        <w:tc>
          <w:tcPr>
            <w:tcW w:type="dxa" w:w="2608"/>
            <w:vAlign w:val="center"/>
            <w:shd w:val="clear" w:color="auto" w:fill="F2F2F2"/>
          </w:tcPr>
          <w:p>
            <w:pPr>
              <w:spacing w:after="0"/>
            </w:pPr>
            <w:r/>
            <w:r>
              <w:rPr>
                <w:b w:val="0"/>
                <w:sz w:val="17"/>
              </w:rPr>
              <w:t>Funds hold/lien, release, debit, credit, GL posting</w:t>
            </w:r>
          </w:p>
        </w:tc>
        <w:tc>
          <w:tcPr>
            <w:tcW w:type="dxa" w:w="2381"/>
            <w:vAlign w:val="center"/>
            <w:shd w:val="clear" w:color="auto" w:fill="F2F2F2"/>
          </w:tcPr>
          <w:p>
            <w:pPr>
              <w:spacing w:after="0"/>
            </w:pPr>
            <w:r/>
            <w:r>
              <w:rPr>
                <w:b w:val="0"/>
                <w:sz w:val="17"/>
              </w:rPr>
              <w:t>REST/SOAP, idempotent</w:t>
            </w:r>
          </w:p>
        </w:tc>
        <w:tc>
          <w:tcPr>
            <w:tcW w:type="dxa" w:w="1757"/>
            <w:vAlign w:val="center"/>
            <w:shd w:val="clear" w:color="auto" w:fill="F2F2F2"/>
          </w:tcPr>
          <w:p>
            <w:pPr>
              <w:spacing w:after="0"/>
            </w:pPr>
            <w:r/>
            <w:r>
              <w:rPr>
                <w:b w:val="0"/>
                <w:sz w:val="17"/>
              </w:rPr>
              <w:t>Real-time + batch on value date</w:t>
            </w:r>
          </w:p>
        </w:tc>
      </w:tr>
      <w:tr>
        <w:tc>
          <w:tcPr>
            <w:tcW w:type="dxa" w:w="794"/>
            <w:vAlign w:val="center"/>
          </w:tcPr>
          <w:p>
            <w:pPr>
              <w:spacing w:after="0"/>
            </w:pPr>
            <w:r/>
            <w:r>
              <w:rPr>
                <w:b w:val="0"/>
                <w:sz w:val="17"/>
              </w:rPr>
              <w:t>INT-03</w:t>
            </w:r>
          </w:p>
        </w:tc>
        <w:tc>
          <w:tcPr>
            <w:tcW w:type="dxa" w:w="1871"/>
            <w:vAlign w:val="center"/>
          </w:tcPr>
          <w:p>
            <w:pPr>
              <w:spacing w:after="0"/>
            </w:pPr>
            <w:r/>
            <w:r>
              <w:rPr>
                <w:b w:val="0"/>
                <w:sz w:val="17"/>
              </w:rPr>
              <w:t>BoT CDS</w:t>
            </w:r>
          </w:p>
        </w:tc>
        <w:tc>
          <w:tcPr>
            <w:tcW w:type="dxa" w:w="2608"/>
            <w:vAlign w:val="center"/>
          </w:tcPr>
          <w:p>
            <w:pPr>
              <w:spacing w:after="0"/>
            </w:pPr>
            <w:r/>
            <w:r>
              <w:rPr>
                <w:b w:val="0"/>
                <w:sz w:val="17"/>
              </w:rPr>
              <w:t>CDS account opening and status</w:t>
            </w:r>
          </w:p>
        </w:tc>
        <w:tc>
          <w:tcPr>
            <w:tcW w:type="dxa" w:w="2381"/>
            <w:vAlign w:val="center"/>
          </w:tcPr>
          <w:p>
            <w:pPr>
              <w:spacing w:after="0"/>
            </w:pPr>
            <w:r/>
            <w:r>
              <w:rPr>
                <w:b w:val="0"/>
                <w:sz w:val="17"/>
              </w:rPr>
              <w:t>API (mTLS) or file</w:t>
            </w:r>
          </w:p>
        </w:tc>
        <w:tc>
          <w:tcPr>
            <w:tcW w:type="dxa" w:w="1757"/>
            <w:vAlign w:val="center"/>
          </w:tcPr>
          <w:p>
            <w:pPr>
              <w:spacing w:after="0"/>
            </w:pPr>
            <w:r/>
            <w:r>
              <w:rPr>
                <w:b w:val="0"/>
                <w:sz w:val="17"/>
              </w:rPr>
              <w:t>Real-time / intraday</w:t>
            </w:r>
          </w:p>
        </w:tc>
      </w:tr>
      <w:tr>
        <w:tc>
          <w:tcPr>
            <w:tcW w:type="dxa" w:w="794"/>
            <w:vAlign w:val="center"/>
            <w:shd w:val="clear" w:color="auto" w:fill="F2F2F2"/>
          </w:tcPr>
          <w:p>
            <w:pPr>
              <w:spacing w:after="0"/>
            </w:pPr>
            <w:r/>
            <w:r>
              <w:rPr>
                <w:b w:val="0"/>
                <w:sz w:val="17"/>
              </w:rPr>
              <w:t>INT-04</w:t>
            </w:r>
          </w:p>
        </w:tc>
        <w:tc>
          <w:tcPr>
            <w:tcW w:type="dxa" w:w="1871"/>
            <w:vAlign w:val="center"/>
            <w:shd w:val="clear" w:color="auto" w:fill="F2F2F2"/>
          </w:tcPr>
          <w:p>
            <w:pPr>
              <w:spacing w:after="0"/>
            </w:pPr>
            <w:r/>
            <w:r>
              <w:rPr>
                <w:b w:val="0"/>
                <w:sz w:val="17"/>
              </w:rPr>
              <w:t>BoT CDS</w:t>
            </w:r>
          </w:p>
        </w:tc>
        <w:tc>
          <w:tcPr>
            <w:tcW w:type="dxa" w:w="2608"/>
            <w:vAlign w:val="center"/>
            <w:shd w:val="clear" w:color="auto" w:fill="F2F2F2"/>
          </w:tcPr>
          <w:p>
            <w:pPr>
              <w:spacing w:after="0"/>
            </w:pPr>
            <w:r/>
            <w:r>
              <w:rPr>
                <w:b w:val="0"/>
                <w:sz w:val="17"/>
              </w:rPr>
              <w:t>Holdings, statements, coupon/redemption data</w:t>
            </w:r>
          </w:p>
        </w:tc>
        <w:tc>
          <w:tcPr>
            <w:tcW w:type="dxa" w:w="2381"/>
            <w:vAlign w:val="center"/>
            <w:shd w:val="clear" w:color="auto" w:fill="F2F2F2"/>
          </w:tcPr>
          <w:p>
            <w:pPr>
              <w:spacing w:after="0"/>
            </w:pPr>
            <w:r/>
            <w:r>
              <w:rPr>
                <w:b w:val="0"/>
                <w:sz w:val="17"/>
              </w:rPr>
              <w:t>API or file</w:t>
            </w:r>
          </w:p>
        </w:tc>
        <w:tc>
          <w:tcPr>
            <w:tcW w:type="dxa" w:w="1757"/>
            <w:vAlign w:val="center"/>
            <w:shd w:val="clear" w:color="auto" w:fill="F2F2F2"/>
          </w:tcPr>
          <w:p>
            <w:pPr>
              <w:spacing w:after="0"/>
            </w:pPr>
            <w:r/>
            <w:r>
              <w:rPr>
                <w:b w:val="0"/>
                <w:sz w:val="17"/>
              </w:rPr>
              <w:t>Daily + on event</w:t>
            </w:r>
          </w:p>
        </w:tc>
      </w:tr>
      <w:tr>
        <w:tc>
          <w:tcPr>
            <w:tcW w:type="dxa" w:w="794"/>
            <w:vAlign w:val="center"/>
          </w:tcPr>
          <w:p>
            <w:pPr>
              <w:spacing w:after="0"/>
            </w:pPr>
            <w:r/>
            <w:r>
              <w:rPr>
                <w:b w:val="0"/>
                <w:sz w:val="17"/>
              </w:rPr>
              <w:t>INT-05</w:t>
            </w:r>
          </w:p>
        </w:tc>
        <w:tc>
          <w:tcPr>
            <w:tcW w:type="dxa" w:w="1871"/>
            <w:vAlign w:val="center"/>
          </w:tcPr>
          <w:p>
            <w:pPr>
              <w:spacing w:after="0"/>
            </w:pPr>
            <w:r/>
            <w:r>
              <w:rPr>
                <w:b w:val="0"/>
                <w:sz w:val="17"/>
              </w:rPr>
              <w:t>BoT GSS Bidding API</w:t>
            </w:r>
          </w:p>
        </w:tc>
        <w:tc>
          <w:tcPr>
            <w:tcW w:type="dxa" w:w="2608"/>
            <w:vAlign w:val="center"/>
          </w:tcPr>
          <w:p>
            <w:pPr>
              <w:spacing w:after="0"/>
            </w:pPr>
            <w:r/>
            <w:r>
              <w:rPr>
                <w:b w:val="0"/>
                <w:sz w:val="17"/>
              </w:rPr>
              <w:t>Auction discovery – GET /auctions</w:t>
            </w:r>
          </w:p>
        </w:tc>
        <w:tc>
          <w:tcPr>
            <w:tcW w:type="dxa" w:w="2381"/>
            <w:vAlign w:val="center"/>
          </w:tcPr>
          <w:p>
            <w:pPr>
              <w:spacing w:after="0"/>
            </w:pPr>
            <w:r/>
            <w:r>
              <w:rPr>
                <w:b w:val="0"/>
                <w:sz w:val="17"/>
              </w:rPr>
              <w:t>REST/JSON, JWT + RSA-SHA256 signature</w:t>
            </w:r>
          </w:p>
        </w:tc>
        <w:tc>
          <w:tcPr>
            <w:tcW w:type="dxa" w:w="1757"/>
            <w:vAlign w:val="center"/>
          </w:tcPr>
          <w:p>
            <w:pPr>
              <w:spacing w:after="0"/>
            </w:pPr>
            <w:r/>
            <w:r>
              <w:rPr>
                <w:b w:val="0"/>
                <w:sz w:val="17"/>
              </w:rPr>
              <w:t>Scheduled + on demand</w:t>
            </w:r>
          </w:p>
        </w:tc>
      </w:tr>
      <w:tr>
        <w:tc>
          <w:tcPr>
            <w:tcW w:type="dxa" w:w="794"/>
            <w:vAlign w:val="center"/>
            <w:shd w:val="clear" w:color="auto" w:fill="F2F2F2"/>
          </w:tcPr>
          <w:p>
            <w:pPr>
              <w:spacing w:after="0"/>
            </w:pPr>
            <w:r/>
            <w:r>
              <w:rPr>
                <w:b w:val="0"/>
                <w:sz w:val="17"/>
              </w:rPr>
              <w:t>INT-06</w:t>
            </w:r>
          </w:p>
        </w:tc>
        <w:tc>
          <w:tcPr>
            <w:tcW w:type="dxa" w:w="1871"/>
            <w:vAlign w:val="center"/>
            <w:shd w:val="clear" w:color="auto" w:fill="F2F2F2"/>
          </w:tcPr>
          <w:p>
            <w:pPr>
              <w:spacing w:after="0"/>
            </w:pPr>
            <w:r/>
            <w:r>
              <w:rPr>
                <w:b w:val="0"/>
                <w:sz w:val="17"/>
              </w:rPr>
              <w:t>BoT GSS Bidding API</w:t>
            </w:r>
          </w:p>
        </w:tc>
        <w:tc>
          <w:tcPr>
            <w:tcW w:type="dxa" w:w="2608"/>
            <w:vAlign w:val="center"/>
            <w:shd w:val="clear" w:color="auto" w:fill="F2F2F2"/>
          </w:tcPr>
          <w:p>
            <w:pPr>
              <w:spacing w:after="0"/>
            </w:pPr>
            <w:r/>
            <w:r>
              <w:rPr>
                <w:b w:val="0"/>
                <w:sz w:val="17"/>
              </w:rPr>
              <w:t>Batch bid submission, query and update – POST /bids/{batchReference}, GET /bids/{ISIN}, PUT /bids/{ISIN}/{reference}</w:t>
            </w:r>
          </w:p>
        </w:tc>
        <w:tc>
          <w:tcPr>
            <w:tcW w:type="dxa" w:w="2381"/>
            <w:vAlign w:val="center"/>
            <w:shd w:val="clear" w:color="auto" w:fill="F2F2F2"/>
          </w:tcPr>
          <w:p>
            <w:pPr>
              <w:spacing w:after="0"/>
            </w:pPr>
            <w:r/>
            <w:r>
              <w:rPr>
                <w:b w:val="0"/>
                <w:sz w:val="17"/>
              </w:rPr>
              <w:t>REST/JSON, JWT + RSA-SHA256 signature</w:t>
            </w:r>
          </w:p>
        </w:tc>
        <w:tc>
          <w:tcPr>
            <w:tcW w:type="dxa" w:w="1757"/>
            <w:vAlign w:val="center"/>
            <w:shd w:val="clear" w:color="auto" w:fill="F2F2F2"/>
          </w:tcPr>
          <w:p>
            <w:pPr>
              <w:spacing w:after="0"/>
            </w:pPr>
            <w:r/>
            <w:r>
              <w:rPr>
                <w:b w:val="0"/>
                <w:sz w:val="17"/>
              </w:rPr>
              <w:t>Per auction before cut-off</w:t>
            </w:r>
          </w:p>
        </w:tc>
      </w:tr>
      <w:tr>
        <w:tc>
          <w:tcPr>
            <w:tcW w:type="dxa" w:w="794"/>
            <w:vAlign w:val="center"/>
          </w:tcPr>
          <w:p>
            <w:pPr>
              <w:spacing w:after="0"/>
            </w:pPr>
            <w:r/>
            <w:r>
              <w:rPr>
                <w:b w:val="0"/>
                <w:sz w:val="17"/>
              </w:rPr>
              <w:t>INT-07</w:t>
            </w:r>
          </w:p>
        </w:tc>
        <w:tc>
          <w:tcPr>
            <w:tcW w:type="dxa" w:w="1871"/>
            <w:vAlign w:val="center"/>
          </w:tcPr>
          <w:p>
            <w:pPr>
              <w:spacing w:after="0"/>
            </w:pPr>
            <w:r/>
            <w:r>
              <w:rPr>
                <w:b w:val="0"/>
                <w:sz w:val="17"/>
              </w:rPr>
              <w:t>BoT GSS Bidding API</w:t>
            </w:r>
          </w:p>
        </w:tc>
        <w:tc>
          <w:tcPr>
            <w:tcW w:type="dxa" w:w="2608"/>
            <w:vAlign w:val="center"/>
          </w:tcPr>
          <w:p>
            <w:pPr>
              <w:spacing w:after="0"/>
            </w:pPr>
            <w:r/>
            <w:r>
              <w:rPr>
                <w:b w:val="0"/>
                <w:sz w:val="17"/>
              </w:rPr>
              <w:t>Results – webhook POST /bidding/callback (inbound) and GET /winners/{ISIN}</w:t>
            </w:r>
          </w:p>
        </w:tc>
        <w:tc>
          <w:tcPr>
            <w:tcW w:type="dxa" w:w="2381"/>
            <w:vAlign w:val="center"/>
          </w:tcPr>
          <w:p>
            <w:pPr>
              <w:spacing w:after="0"/>
            </w:pPr>
            <w:r/>
            <w:r>
              <w:rPr>
                <w:b w:val="0"/>
                <w:sz w:val="17"/>
              </w:rPr>
              <w:t>REST/JSON; BoT-signed callback</w:t>
            </w:r>
          </w:p>
        </w:tc>
        <w:tc>
          <w:tcPr>
            <w:tcW w:type="dxa" w:w="1757"/>
            <w:vAlign w:val="center"/>
          </w:tcPr>
          <w:p>
            <w:pPr>
              <w:spacing w:after="0"/>
            </w:pPr>
            <w:r/>
            <w:r>
              <w:rPr>
                <w:b w:val="0"/>
                <w:sz w:val="17"/>
              </w:rPr>
              <w:t>Per auction</w:t>
            </w:r>
          </w:p>
        </w:tc>
      </w:tr>
      <w:tr>
        <w:tc>
          <w:tcPr>
            <w:tcW w:type="dxa" w:w="794"/>
            <w:vAlign w:val="center"/>
            <w:shd w:val="clear" w:color="auto" w:fill="F2F2F2"/>
          </w:tcPr>
          <w:p>
            <w:pPr>
              <w:spacing w:after="0"/>
            </w:pPr>
            <w:r/>
            <w:r>
              <w:rPr>
                <w:b w:val="0"/>
                <w:sz w:val="17"/>
              </w:rPr>
              <w:t>INT-07a</w:t>
            </w:r>
          </w:p>
        </w:tc>
        <w:tc>
          <w:tcPr>
            <w:tcW w:type="dxa" w:w="1871"/>
            <w:vAlign w:val="center"/>
            <w:shd w:val="clear" w:color="auto" w:fill="F2F2F2"/>
          </w:tcPr>
          <w:p>
            <w:pPr>
              <w:spacing w:after="0"/>
            </w:pPr>
            <w:r/>
            <w:r>
              <w:rPr>
                <w:b w:val="0"/>
                <w:sz w:val="17"/>
              </w:rPr>
              <w:t>BoT GSS Bidding API</w:t>
            </w:r>
          </w:p>
        </w:tc>
        <w:tc>
          <w:tcPr>
            <w:tcW w:type="dxa" w:w="2608"/>
            <w:vAlign w:val="center"/>
            <w:shd w:val="clear" w:color="auto" w:fill="F2F2F2"/>
          </w:tcPr>
          <w:p>
            <w:pPr>
              <w:spacing w:after="0"/>
            </w:pPr>
            <w:r/>
            <w:r>
              <w:rPr>
                <w:b w:val="0"/>
                <w:sz w:val="17"/>
              </w:rPr>
              <w:t>Authentication – POST /api/auth (12-hour JWT)</w:t>
            </w:r>
          </w:p>
        </w:tc>
        <w:tc>
          <w:tcPr>
            <w:tcW w:type="dxa" w:w="2381"/>
            <w:vAlign w:val="center"/>
            <w:shd w:val="clear" w:color="auto" w:fill="F2F2F2"/>
          </w:tcPr>
          <w:p>
            <w:pPr>
              <w:spacing w:after="0"/>
            </w:pPr>
            <w:r/>
            <w:r>
              <w:rPr>
                <w:b w:val="0"/>
                <w:sz w:val="17"/>
              </w:rPr>
              <w:t>REST/JSON, API key + RSA-SHA256</w:t>
            </w:r>
          </w:p>
        </w:tc>
        <w:tc>
          <w:tcPr>
            <w:tcW w:type="dxa" w:w="1757"/>
            <w:vAlign w:val="center"/>
            <w:shd w:val="clear" w:color="auto" w:fill="F2F2F2"/>
          </w:tcPr>
          <w:p>
            <w:pPr>
              <w:spacing w:after="0"/>
            </w:pPr>
            <w:r/>
            <w:r>
              <w:rPr>
                <w:b w:val="0"/>
                <w:sz w:val="17"/>
              </w:rPr>
              <w:t>Before expiry</w:t>
            </w:r>
          </w:p>
        </w:tc>
      </w:tr>
      <w:tr>
        <w:tc>
          <w:tcPr>
            <w:tcW w:type="dxa" w:w="794"/>
            <w:vAlign w:val="center"/>
          </w:tcPr>
          <w:p>
            <w:pPr>
              <w:spacing w:after="0"/>
            </w:pPr>
            <w:r/>
            <w:r>
              <w:rPr>
                <w:b w:val="0"/>
                <w:sz w:val="17"/>
              </w:rPr>
              <w:t>INT-08</w:t>
            </w:r>
          </w:p>
        </w:tc>
        <w:tc>
          <w:tcPr>
            <w:tcW w:type="dxa" w:w="1871"/>
            <w:vAlign w:val="center"/>
          </w:tcPr>
          <w:p>
            <w:pPr>
              <w:spacing w:after="0"/>
            </w:pPr>
            <w:r/>
            <w:r>
              <w:rPr>
                <w:b w:val="0"/>
                <w:sz w:val="17"/>
              </w:rPr>
              <w:t>TISS / TIPS / GePG</w:t>
            </w:r>
          </w:p>
        </w:tc>
        <w:tc>
          <w:tcPr>
            <w:tcW w:type="dxa" w:w="2608"/>
            <w:vAlign w:val="center"/>
          </w:tcPr>
          <w:p>
            <w:pPr>
              <w:spacing w:after="0"/>
            </w:pPr>
            <w:r/>
            <w:r>
              <w:rPr>
                <w:b w:val="0"/>
                <w:sz w:val="17"/>
              </w:rPr>
              <w:t>Interbank settlement and payment references</w:t>
            </w:r>
          </w:p>
        </w:tc>
        <w:tc>
          <w:tcPr>
            <w:tcW w:type="dxa" w:w="2381"/>
            <w:vAlign w:val="center"/>
          </w:tcPr>
          <w:p>
            <w:pPr>
              <w:spacing w:after="0"/>
            </w:pPr>
            <w:r/>
            <w:r>
              <w:rPr>
                <w:b w:val="0"/>
                <w:sz w:val="17"/>
              </w:rPr>
              <w:t>ISO 20022 / BoT-prescribed</w:t>
            </w:r>
          </w:p>
        </w:tc>
        <w:tc>
          <w:tcPr>
            <w:tcW w:type="dxa" w:w="1757"/>
            <w:vAlign w:val="center"/>
          </w:tcPr>
          <w:p>
            <w:pPr>
              <w:spacing w:after="0"/>
            </w:pPr>
            <w:r/>
            <w:r>
              <w:rPr>
                <w:b w:val="0"/>
                <w:sz w:val="17"/>
              </w:rPr>
              <w:t>Value date</w:t>
            </w:r>
          </w:p>
        </w:tc>
      </w:tr>
      <w:tr>
        <w:tc>
          <w:tcPr>
            <w:tcW w:type="dxa" w:w="794"/>
            <w:vAlign w:val="center"/>
            <w:shd w:val="clear" w:color="auto" w:fill="F2F2F2"/>
          </w:tcPr>
          <w:p>
            <w:pPr>
              <w:spacing w:after="0"/>
            </w:pPr>
            <w:r/>
            <w:r>
              <w:rPr>
                <w:b w:val="0"/>
                <w:sz w:val="17"/>
              </w:rPr>
              <w:t>INT-09</w:t>
            </w:r>
          </w:p>
        </w:tc>
        <w:tc>
          <w:tcPr>
            <w:tcW w:type="dxa" w:w="1871"/>
            <w:vAlign w:val="center"/>
            <w:shd w:val="clear" w:color="auto" w:fill="F2F2F2"/>
          </w:tcPr>
          <w:p>
            <w:pPr>
              <w:spacing w:after="0"/>
            </w:pPr>
            <w:r/>
            <w:r>
              <w:rPr>
                <w:b w:val="0"/>
                <w:sz w:val="17"/>
              </w:rPr>
              <w:t>NIDA / BRELA / TRA</w:t>
            </w:r>
          </w:p>
        </w:tc>
        <w:tc>
          <w:tcPr>
            <w:tcW w:type="dxa" w:w="2608"/>
            <w:vAlign w:val="center"/>
            <w:shd w:val="clear" w:color="auto" w:fill="F2F2F2"/>
          </w:tcPr>
          <w:p>
            <w:pPr>
              <w:spacing w:after="0"/>
            </w:pPr>
            <w:r/>
            <w:r>
              <w:rPr>
                <w:b w:val="0"/>
                <w:sz w:val="17"/>
              </w:rPr>
              <w:t>Identity, company and TIN verification</w:t>
            </w:r>
          </w:p>
        </w:tc>
        <w:tc>
          <w:tcPr>
            <w:tcW w:type="dxa" w:w="2381"/>
            <w:vAlign w:val="center"/>
            <w:shd w:val="clear" w:color="auto" w:fill="F2F2F2"/>
          </w:tcPr>
          <w:p>
            <w:pPr>
              <w:spacing w:after="0"/>
            </w:pPr>
            <w:r/>
            <w:r>
              <w:rPr>
                <w:b w:val="0"/>
                <w:sz w:val="17"/>
              </w:rPr>
              <w:t>REST (licensed access)</w:t>
            </w:r>
          </w:p>
        </w:tc>
        <w:tc>
          <w:tcPr>
            <w:tcW w:type="dxa" w:w="1757"/>
            <w:vAlign w:val="center"/>
            <w:shd w:val="clear" w:color="auto" w:fill="F2F2F2"/>
          </w:tcPr>
          <w:p>
            <w:pPr>
              <w:spacing w:after="0"/>
            </w:pPr>
            <w:r/>
            <w:r>
              <w:rPr>
                <w:b w:val="0"/>
                <w:sz w:val="17"/>
              </w:rPr>
              <w:t>Real-time</w:t>
            </w:r>
          </w:p>
        </w:tc>
      </w:tr>
      <w:tr>
        <w:tc>
          <w:tcPr>
            <w:tcW w:type="dxa" w:w="794"/>
            <w:vAlign w:val="center"/>
          </w:tcPr>
          <w:p>
            <w:pPr>
              <w:spacing w:after="0"/>
            </w:pPr>
            <w:r/>
            <w:r>
              <w:rPr>
                <w:b w:val="0"/>
                <w:sz w:val="17"/>
              </w:rPr>
              <w:t>INT-10</w:t>
            </w:r>
          </w:p>
        </w:tc>
        <w:tc>
          <w:tcPr>
            <w:tcW w:type="dxa" w:w="1871"/>
            <w:vAlign w:val="center"/>
          </w:tcPr>
          <w:p>
            <w:pPr>
              <w:spacing w:after="0"/>
            </w:pPr>
            <w:r/>
            <w:r>
              <w:rPr>
                <w:b w:val="0"/>
                <w:sz w:val="17"/>
              </w:rPr>
              <w:t>USSD aggregator / MNOs</w:t>
            </w:r>
          </w:p>
        </w:tc>
        <w:tc>
          <w:tcPr>
            <w:tcW w:type="dxa" w:w="2608"/>
            <w:vAlign w:val="center"/>
          </w:tcPr>
          <w:p>
            <w:pPr>
              <w:spacing w:after="0"/>
            </w:pPr>
            <w:r/>
            <w:r>
              <w:rPr>
                <w:b w:val="0"/>
                <w:sz w:val="17"/>
              </w:rPr>
              <w:t>USSD sessions and SIM-swap checks</w:t>
            </w:r>
          </w:p>
        </w:tc>
        <w:tc>
          <w:tcPr>
            <w:tcW w:type="dxa" w:w="2381"/>
            <w:vAlign w:val="center"/>
          </w:tcPr>
          <w:p>
            <w:pPr>
              <w:spacing w:after="0"/>
            </w:pPr>
            <w:r/>
            <w:r>
              <w:rPr>
                <w:b w:val="0"/>
                <w:sz w:val="17"/>
              </w:rPr>
              <w:t>HTTP callbacks</w:t>
            </w:r>
          </w:p>
        </w:tc>
        <w:tc>
          <w:tcPr>
            <w:tcW w:type="dxa" w:w="1757"/>
            <w:vAlign w:val="center"/>
          </w:tcPr>
          <w:p>
            <w:pPr>
              <w:spacing w:after="0"/>
            </w:pPr>
            <w:r/>
            <w:r>
              <w:rPr>
                <w:b w:val="0"/>
                <w:sz w:val="17"/>
              </w:rPr>
              <w:t>Real-time</w:t>
            </w:r>
          </w:p>
        </w:tc>
      </w:tr>
      <w:tr>
        <w:tc>
          <w:tcPr>
            <w:tcW w:type="dxa" w:w="794"/>
            <w:vAlign w:val="center"/>
            <w:shd w:val="clear" w:color="auto" w:fill="F2F2F2"/>
          </w:tcPr>
          <w:p>
            <w:pPr>
              <w:spacing w:after="0"/>
            </w:pPr>
            <w:r/>
            <w:r>
              <w:rPr>
                <w:b w:val="0"/>
                <w:sz w:val="17"/>
              </w:rPr>
              <w:t>INT-11</w:t>
            </w:r>
          </w:p>
        </w:tc>
        <w:tc>
          <w:tcPr>
            <w:tcW w:type="dxa" w:w="1871"/>
            <w:vAlign w:val="center"/>
            <w:shd w:val="clear" w:color="auto" w:fill="F2F2F2"/>
          </w:tcPr>
          <w:p>
            <w:pPr>
              <w:spacing w:after="0"/>
            </w:pPr>
            <w:r/>
            <w:r>
              <w:rPr>
                <w:b w:val="0"/>
                <w:sz w:val="17"/>
              </w:rPr>
              <w:t>SMS gateway, email, FCM/APNs, WhatsApp BSP</w:t>
            </w:r>
          </w:p>
        </w:tc>
        <w:tc>
          <w:tcPr>
            <w:tcW w:type="dxa" w:w="2608"/>
            <w:vAlign w:val="center"/>
            <w:shd w:val="clear" w:color="auto" w:fill="F2F2F2"/>
          </w:tcPr>
          <w:p>
            <w:pPr>
              <w:spacing w:after="0"/>
            </w:pPr>
            <w:r/>
            <w:r>
              <w:rPr>
                <w:b w:val="0"/>
                <w:sz w:val="17"/>
              </w:rPr>
              <w:t>Notifications</w:t>
            </w:r>
          </w:p>
        </w:tc>
        <w:tc>
          <w:tcPr>
            <w:tcW w:type="dxa" w:w="2381"/>
            <w:vAlign w:val="center"/>
            <w:shd w:val="clear" w:color="auto" w:fill="F2F2F2"/>
          </w:tcPr>
          <w:p>
            <w:pPr>
              <w:spacing w:after="0"/>
            </w:pPr>
            <w:r/>
            <w:r>
              <w:rPr>
                <w:b w:val="0"/>
                <w:sz w:val="17"/>
              </w:rPr>
              <w:t>REST</w:t>
            </w:r>
          </w:p>
        </w:tc>
        <w:tc>
          <w:tcPr>
            <w:tcW w:type="dxa" w:w="1757"/>
            <w:vAlign w:val="center"/>
            <w:shd w:val="clear" w:color="auto" w:fill="F2F2F2"/>
          </w:tcPr>
          <w:p>
            <w:pPr>
              <w:spacing w:after="0"/>
            </w:pPr>
            <w:r/>
            <w:r>
              <w:rPr>
                <w:b w:val="0"/>
                <w:sz w:val="17"/>
              </w:rPr>
              <w:t>Real-time</w:t>
            </w:r>
          </w:p>
        </w:tc>
      </w:tr>
      <w:tr>
        <w:tc>
          <w:tcPr>
            <w:tcW w:type="dxa" w:w="794"/>
            <w:vAlign w:val="center"/>
          </w:tcPr>
          <w:p>
            <w:pPr>
              <w:spacing w:after="0"/>
            </w:pPr>
            <w:r/>
            <w:r>
              <w:rPr>
                <w:b w:val="0"/>
                <w:sz w:val="17"/>
              </w:rPr>
              <w:t>INT-12</w:t>
            </w:r>
          </w:p>
        </w:tc>
        <w:tc>
          <w:tcPr>
            <w:tcW w:type="dxa" w:w="1871"/>
            <w:vAlign w:val="center"/>
          </w:tcPr>
          <w:p>
            <w:pPr>
              <w:spacing w:after="0"/>
            </w:pPr>
            <w:r/>
            <w:r>
              <w:rPr>
                <w:b w:val="0"/>
                <w:sz w:val="17"/>
              </w:rPr>
              <w:t>TCB AML / Sanctions system</w:t>
            </w:r>
          </w:p>
        </w:tc>
        <w:tc>
          <w:tcPr>
            <w:tcW w:type="dxa" w:w="2608"/>
            <w:vAlign w:val="center"/>
          </w:tcPr>
          <w:p>
            <w:pPr>
              <w:spacing w:after="0"/>
            </w:pPr>
            <w:r/>
            <w:r>
              <w:rPr>
                <w:b w:val="0"/>
                <w:sz w:val="17"/>
              </w:rPr>
              <w:t>Screening and suspicious-activity referral</w:t>
            </w:r>
          </w:p>
        </w:tc>
        <w:tc>
          <w:tcPr>
            <w:tcW w:type="dxa" w:w="2381"/>
            <w:vAlign w:val="center"/>
          </w:tcPr>
          <w:p>
            <w:pPr>
              <w:spacing w:after="0"/>
            </w:pPr>
            <w:r/>
            <w:r>
              <w:rPr>
                <w:b w:val="0"/>
                <w:sz w:val="17"/>
              </w:rPr>
              <w:t>REST / batch</w:t>
            </w:r>
          </w:p>
        </w:tc>
        <w:tc>
          <w:tcPr>
            <w:tcW w:type="dxa" w:w="1757"/>
            <w:vAlign w:val="center"/>
          </w:tcPr>
          <w:p>
            <w:pPr>
              <w:spacing w:after="0"/>
            </w:pPr>
            <w:r/>
            <w:r>
              <w:rPr>
                <w:b w:val="0"/>
                <w:sz w:val="17"/>
              </w:rPr>
              <w:t>Real-time + daily</w:t>
            </w:r>
          </w:p>
        </w:tc>
      </w:tr>
      <w:tr>
        <w:tc>
          <w:tcPr>
            <w:tcW w:type="dxa" w:w="794"/>
            <w:vAlign w:val="center"/>
            <w:shd w:val="clear" w:color="auto" w:fill="F2F2F2"/>
          </w:tcPr>
          <w:p>
            <w:pPr>
              <w:spacing w:after="0"/>
            </w:pPr>
            <w:r/>
            <w:r>
              <w:rPr>
                <w:b w:val="0"/>
                <w:sz w:val="17"/>
              </w:rPr>
              <w:t>INT-13</w:t>
            </w:r>
          </w:p>
        </w:tc>
        <w:tc>
          <w:tcPr>
            <w:tcW w:type="dxa" w:w="1871"/>
            <w:vAlign w:val="center"/>
            <w:shd w:val="clear" w:color="auto" w:fill="F2F2F2"/>
          </w:tcPr>
          <w:p>
            <w:pPr>
              <w:spacing w:after="0"/>
            </w:pPr>
            <w:r/>
            <w:r>
              <w:rPr>
                <w:b w:val="0"/>
                <w:sz w:val="17"/>
              </w:rPr>
              <w:t>TCB AD / SSO, SIEM, DWH</w:t>
            </w:r>
          </w:p>
        </w:tc>
        <w:tc>
          <w:tcPr>
            <w:tcW w:type="dxa" w:w="2608"/>
            <w:vAlign w:val="center"/>
            <w:shd w:val="clear" w:color="auto" w:fill="F2F2F2"/>
          </w:tcPr>
          <w:p>
            <w:pPr>
              <w:spacing w:after="0"/>
            </w:pPr>
            <w:r/>
            <w:r>
              <w:rPr>
                <w:b w:val="0"/>
                <w:sz w:val="17"/>
              </w:rPr>
              <w:t>Staff identity, security logs, enterprise reporting</w:t>
            </w:r>
          </w:p>
        </w:tc>
        <w:tc>
          <w:tcPr>
            <w:tcW w:type="dxa" w:w="2381"/>
            <w:vAlign w:val="center"/>
            <w:shd w:val="clear" w:color="auto" w:fill="F2F2F2"/>
          </w:tcPr>
          <w:p>
            <w:pPr>
              <w:spacing w:after="0"/>
            </w:pPr>
            <w:r/>
            <w:r>
              <w:rPr>
                <w:b w:val="0"/>
                <w:sz w:val="17"/>
              </w:rPr>
              <w:t>LDAP/SAML/OIDC, syslog, CDC</w:t>
            </w:r>
          </w:p>
        </w:tc>
        <w:tc>
          <w:tcPr>
            <w:tcW w:type="dxa" w:w="1757"/>
            <w:vAlign w:val="center"/>
            <w:shd w:val="clear" w:color="auto" w:fill="F2F2F2"/>
          </w:tcPr>
          <w:p>
            <w:pPr>
              <w:spacing w:after="0"/>
            </w:pPr>
            <w:r/>
            <w:r>
              <w:rPr>
                <w:b w:val="0"/>
                <w:sz w:val="17"/>
              </w:rPr>
              <w:t>Continuous</w:t>
            </w:r>
          </w:p>
        </w:tc>
      </w:tr>
    </w:tbl>
    <w:p>
      <w:pPr>
        <w:spacing w:after="40"/>
      </w:pPr>
    </w:p>
    <w:p>
      <w:r>
        <w:rPr>
          <w:i/>
        </w:rPr>
        <w:t>INT-05 to INT-07a follow BoT specification R2. The BoT API does not cover CDS account opening, holdings, coupons or settlement, so INT-03, INT-04 and INT-08 still depend on specifications not yet received (R2a). For those, the adapter keeps the API and SFTP-file options (ADR-04).</w:t>
      </w:r>
    </w:p>
    <w:p>
      <w:pPr>
        <w:pStyle w:val="Heading2"/>
      </w:pPr>
      <w:r>
        <w:t>7.3 BoT GSS Bidding API Integration</w:t>
      </w:r>
    </w:p>
    <w:p>
      <w:r>
        <w:rPr>
          <w:i w:val="0"/>
        </w:rPr>
        <w:t>The BoT Auction adapter implements BoT's Government Securities Bidding Process &amp; Authentication API (R2). BoT exposes a sandbox gateway (https://proxy-sandbox.bot.go.tz) and a production gateway (https://proxy.bot.go.tz). The production gateway is reachable only over the BoT Secure Financial WAN, from static IP addresses registered at onboarding.</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268"/>
        <w:gridCol w:w="3175"/>
        <w:gridCol w:w="3969"/>
      </w:tblGrid>
      <w:tr>
        <w:trPr>
          <w:tblHeader w:val="true"/>
        </w:trPr>
        <w:tc>
          <w:tcPr>
            <w:tcW w:type="dxa" w:w="2268"/>
            <w:vAlign w:val="center"/>
            <w:shd w:val="clear" w:color="auto" w:fill="1F3864"/>
          </w:tcPr>
          <w:p>
            <w:pPr>
              <w:spacing w:after="0"/>
            </w:pPr>
            <w:r/>
            <w:r>
              <w:rPr>
                <w:b/>
                <w:color w:val="FFFFFF"/>
                <w:sz w:val="17"/>
              </w:rPr>
              <w:t>BoT endpoint</w:t>
            </w:r>
          </w:p>
        </w:tc>
        <w:tc>
          <w:tcPr>
            <w:tcW w:type="dxa" w:w="3175"/>
            <w:vAlign w:val="center"/>
            <w:shd w:val="clear" w:color="auto" w:fill="1F3864"/>
          </w:tcPr>
          <w:p>
            <w:pPr>
              <w:spacing w:after="0"/>
            </w:pPr>
            <w:r/>
            <w:r>
              <w:rPr>
                <w:b/>
                <w:color w:val="FFFFFF"/>
                <w:sz w:val="17"/>
              </w:rPr>
              <w:t>Platform use</w:t>
            </w:r>
          </w:p>
        </w:tc>
        <w:tc>
          <w:tcPr>
            <w:tcW w:type="dxa" w:w="3969"/>
            <w:vAlign w:val="center"/>
            <w:shd w:val="clear" w:color="auto" w:fill="1F3864"/>
          </w:tcPr>
          <w:p>
            <w:pPr>
              <w:spacing w:after="0"/>
            </w:pPr>
            <w:r/>
            <w:r>
              <w:rPr>
                <w:b/>
                <w:color w:val="FFFFFF"/>
                <w:sz w:val="17"/>
              </w:rPr>
              <w:t>Adapter behaviour</w:t>
            </w:r>
          </w:p>
        </w:tc>
      </w:tr>
      <w:tr>
        <w:tc>
          <w:tcPr>
            <w:tcW w:type="dxa" w:w="2268"/>
            <w:vAlign w:val="center"/>
          </w:tcPr>
          <w:p>
            <w:pPr>
              <w:spacing w:after="0"/>
            </w:pPr>
            <w:r/>
            <w:r>
              <w:rPr>
                <w:b w:val="0"/>
                <w:sz w:val="17"/>
              </w:rPr>
              <w:t>POST /api/auth</w:t>
            </w:r>
          </w:p>
        </w:tc>
        <w:tc>
          <w:tcPr>
            <w:tcW w:type="dxa" w:w="3175"/>
            <w:vAlign w:val="center"/>
          </w:tcPr>
          <w:p>
            <w:pPr>
              <w:spacing w:after="0"/>
            </w:pPr>
            <w:r/>
            <w:r>
              <w:rPr>
                <w:b w:val="0"/>
                <w:sz w:val="17"/>
              </w:rPr>
              <w:t>Obtain JWT access token (12-hour lifetime) and refresh token</w:t>
            </w:r>
          </w:p>
        </w:tc>
        <w:tc>
          <w:tcPr>
            <w:tcW w:type="dxa" w:w="3969"/>
            <w:vAlign w:val="center"/>
          </w:tcPr>
          <w:p>
            <w:pPr>
              <w:spacing w:after="0"/>
            </w:pPr>
            <w:r/>
            <w:r>
              <w:rPr>
                <w:b w:val="0"/>
                <w:sz w:val="17"/>
              </w:rPr>
              <w:t>Token cached in memory/Redis; renewed at 80% of lifetime and on any 401; one token per adapter cluster</w:t>
            </w:r>
          </w:p>
        </w:tc>
      </w:tr>
      <w:tr>
        <w:tc>
          <w:tcPr>
            <w:tcW w:type="dxa" w:w="2268"/>
            <w:vAlign w:val="center"/>
            <w:shd w:val="clear" w:color="auto" w:fill="F2F2F2"/>
          </w:tcPr>
          <w:p>
            <w:pPr>
              <w:spacing w:after="0"/>
            </w:pPr>
            <w:r/>
            <w:r>
              <w:rPr>
                <w:b w:val="0"/>
                <w:sz w:val="17"/>
              </w:rPr>
              <w:t>GET /auctions</w:t>
            </w:r>
          </w:p>
        </w:tc>
        <w:tc>
          <w:tcPr>
            <w:tcW w:type="dxa" w:w="3175"/>
            <w:vAlign w:val="center"/>
            <w:shd w:val="clear" w:color="auto" w:fill="F2F2F2"/>
          </w:tcPr>
          <w:p>
            <w:pPr>
              <w:spacing w:after="0"/>
            </w:pPr>
            <w:r/>
            <w:r>
              <w:rPr>
                <w:b w:val="0"/>
                <w:sz w:val="17"/>
              </w:rPr>
              <w:t>Populate the Auction Catalogue (ISIN, instrument type, auction date, maturity, tender sizes, status)</w:t>
            </w:r>
          </w:p>
        </w:tc>
        <w:tc>
          <w:tcPr>
            <w:tcW w:type="dxa" w:w="3969"/>
            <w:vAlign w:val="center"/>
            <w:shd w:val="clear" w:color="auto" w:fill="F2F2F2"/>
          </w:tcPr>
          <w:p>
            <w:pPr>
              <w:spacing w:after="0"/>
            </w:pPr>
            <w:r/>
            <w:r>
              <w:rPr>
                <w:b w:val="0"/>
                <w:sz w:val="17"/>
              </w:rPr>
              <w:t>Polled on a schedule and before each cut-off; changes published as AuctionPublished / AuctionClosed events</w:t>
            </w:r>
          </w:p>
        </w:tc>
      </w:tr>
      <w:tr>
        <w:tc>
          <w:tcPr>
            <w:tcW w:type="dxa" w:w="2268"/>
            <w:vAlign w:val="center"/>
          </w:tcPr>
          <w:p>
            <w:pPr>
              <w:spacing w:after="0"/>
            </w:pPr>
            <w:r/>
            <w:r>
              <w:rPr>
                <w:b w:val="0"/>
                <w:sz w:val="17"/>
              </w:rPr>
              <w:t>POST /bids/{batchReference}</w:t>
            </w:r>
          </w:p>
        </w:tc>
        <w:tc>
          <w:tcPr>
            <w:tcW w:type="dxa" w:w="3175"/>
            <w:vAlign w:val="center"/>
          </w:tcPr>
          <w:p>
            <w:pPr>
              <w:spacing w:after="0"/>
            </w:pPr>
            <w:r/>
            <w:r>
              <w:rPr>
                <w:b w:val="0"/>
                <w:sz w:val="17"/>
              </w:rPr>
              <w:t>Submit the consolidated TCB batch for an auction</w:t>
            </w:r>
          </w:p>
        </w:tc>
        <w:tc>
          <w:tcPr>
            <w:tcW w:type="dxa" w:w="3969"/>
            <w:vAlign w:val="center"/>
          </w:tcPr>
          <w:p>
            <w:pPr>
              <w:spacing w:after="0"/>
            </w:pPr>
            <w:r/>
            <w:r>
              <w:rPr>
                <w:b w:val="0"/>
                <w:sz w:val="17"/>
              </w:rPr>
              <w:t>One batch per ISIN per submission window; approved via maker-checker; bids grouped by ISIN with CDS securityAccount, amount, competitive Y/N, price</w:t>
            </w:r>
          </w:p>
        </w:tc>
      </w:tr>
      <w:tr>
        <w:tc>
          <w:tcPr>
            <w:tcW w:type="dxa" w:w="2268"/>
            <w:vAlign w:val="center"/>
            <w:shd w:val="clear" w:color="auto" w:fill="F2F2F2"/>
          </w:tcPr>
          <w:p>
            <w:pPr>
              <w:spacing w:after="0"/>
            </w:pPr>
            <w:r/>
            <w:r>
              <w:rPr>
                <w:b w:val="0"/>
                <w:sz w:val="17"/>
              </w:rPr>
              <w:t>GET /bids/{ISIN}</w:t>
            </w:r>
          </w:p>
        </w:tc>
        <w:tc>
          <w:tcPr>
            <w:tcW w:type="dxa" w:w="3175"/>
            <w:vAlign w:val="center"/>
            <w:shd w:val="clear" w:color="auto" w:fill="F2F2F2"/>
          </w:tcPr>
          <w:p>
            <w:pPr>
              <w:spacing w:after="0"/>
            </w:pPr>
            <w:r/>
            <w:r>
              <w:rPr>
                <w:b w:val="0"/>
                <w:sz w:val="17"/>
              </w:rPr>
              <w:t>Confirm BoT's view of submitted bids and their status</w:t>
            </w:r>
          </w:p>
        </w:tc>
        <w:tc>
          <w:tcPr>
            <w:tcW w:type="dxa" w:w="3969"/>
            <w:vAlign w:val="center"/>
            <w:shd w:val="clear" w:color="auto" w:fill="F2F2F2"/>
          </w:tcPr>
          <w:p>
            <w:pPr>
              <w:spacing w:after="0"/>
            </w:pPr>
            <w:r/>
            <w:r>
              <w:rPr>
                <w:b w:val="0"/>
                <w:sz w:val="17"/>
              </w:rPr>
              <w:t>Called after submission and before cut-off; maps each BoT requestId to the platform bid; drives reconciliation</w:t>
            </w:r>
          </w:p>
        </w:tc>
      </w:tr>
      <w:tr>
        <w:tc>
          <w:tcPr>
            <w:tcW w:type="dxa" w:w="2268"/>
            <w:vAlign w:val="center"/>
          </w:tcPr>
          <w:p>
            <w:pPr>
              <w:spacing w:after="0"/>
            </w:pPr>
            <w:r/>
            <w:r>
              <w:rPr>
                <w:b w:val="0"/>
                <w:sz w:val="17"/>
              </w:rPr>
              <w:t>PUT /bids/{ISIN}/{reference}</w:t>
            </w:r>
          </w:p>
        </w:tc>
        <w:tc>
          <w:tcPr>
            <w:tcW w:type="dxa" w:w="3175"/>
            <w:vAlign w:val="center"/>
          </w:tcPr>
          <w:p>
            <w:pPr>
              <w:spacing w:after="0"/>
            </w:pPr>
            <w:r/>
            <w:r>
              <w:rPr>
                <w:b w:val="0"/>
                <w:sz w:val="17"/>
              </w:rPr>
              <w:t>Amend a bid (amount, competitive flag, price) before cut-off</w:t>
            </w:r>
          </w:p>
        </w:tc>
        <w:tc>
          <w:tcPr>
            <w:tcW w:type="dxa" w:w="3969"/>
            <w:vAlign w:val="center"/>
          </w:tcPr>
          <w:p>
            <w:pPr>
              <w:spacing w:after="0"/>
            </w:pPr>
            <w:r/>
            <w:r>
              <w:rPr>
                <w:b w:val="0"/>
                <w:sz w:val="17"/>
              </w:rPr>
              <w:t>Asynchronous: 202 Accepted, final state confirmed via GET /bids or callback</w:t>
            </w:r>
          </w:p>
        </w:tc>
      </w:tr>
      <w:tr>
        <w:tc>
          <w:tcPr>
            <w:tcW w:type="dxa" w:w="2268"/>
            <w:vAlign w:val="center"/>
            <w:shd w:val="clear" w:color="auto" w:fill="F2F2F2"/>
          </w:tcPr>
          <w:p>
            <w:pPr>
              <w:spacing w:after="0"/>
            </w:pPr>
            <w:r/>
            <w:r>
              <w:rPr>
                <w:b w:val="0"/>
                <w:sz w:val="17"/>
              </w:rPr>
              <w:t>GET /winners/{ISIN}</w:t>
            </w:r>
          </w:p>
        </w:tc>
        <w:tc>
          <w:tcPr>
            <w:tcW w:type="dxa" w:w="3175"/>
            <w:vAlign w:val="center"/>
            <w:shd w:val="clear" w:color="auto" w:fill="F2F2F2"/>
          </w:tcPr>
          <w:p>
            <w:pPr>
              <w:spacing w:after="0"/>
            </w:pPr>
            <w:r/>
            <w:r>
              <w:rPr>
                <w:b w:val="0"/>
                <w:sz w:val="17"/>
              </w:rPr>
              <w:t>Retrieve allotment results after the auction</w:t>
            </w:r>
          </w:p>
        </w:tc>
        <w:tc>
          <w:tcPr>
            <w:tcW w:type="dxa" w:w="3969"/>
            <w:vAlign w:val="center"/>
            <w:shd w:val="clear" w:color="auto" w:fill="F2F2F2"/>
          </w:tcPr>
          <w:p>
            <w:pPr>
              <w:spacing w:after="0"/>
            </w:pPr>
            <w:r/>
            <w:r>
              <w:rPr>
                <w:b w:val="0"/>
                <w:sz w:val="17"/>
              </w:rPr>
              <w:t>Authoritative pull; used to confirm or replace webhook results</w:t>
            </w:r>
          </w:p>
        </w:tc>
      </w:tr>
      <w:tr>
        <w:tc>
          <w:tcPr>
            <w:tcW w:type="dxa" w:w="2268"/>
            <w:vAlign w:val="center"/>
          </w:tcPr>
          <w:p>
            <w:pPr>
              <w:spacing w:after="0"/>
            </w:pPr>
            <w:r/>
            <w:r>
              <w:rPr>
                <w:b w:val="0"/>
                <w:sz w:val="17"/>
              </w:rPr>
              <w:t>POST /bidding/callback (hosted by TCB)</w:t>
            </w:r>
          </w:p>
        </w:tc>
        <w:tc>
          <w:tcPr>
            <w:tcW w:type="dxa" w:w="3175"/>
            <w:vAlign w:val="center"/>
          </w:tcPr>
          <w:p>
            <w:pPr>
              <w:spacing w:after="0"/>
            </w:pPr>
            <w:r/>
            <w:r>
              <w:rPr>
                <w:b w:val="0"/>
                <w:sz w:val="17"/>
              </w:rPr>
              <w:t>Receive bid status, auction closing and allotment events from BoT</w:t>
            </w:r>
          </w:p>
        </w:tc>
        <w:tc>
          <w:tcPr>
            <w:tcW w:type="dxa" w:w="3969"/>
            <w:vAlign w:val="center"/>
          </w:tcPr>
          <w:p>
            <w:pPr>
              <w:spacing w:after="0"/>
            </w:pPr>
            <w:r/>
            <w:r>
              <w:rPr>
                <w:b w:val="0"/>
                <w:sz w:val="17"/>
              </w:rPr>
              <w:t>Exposed in the DMZ; BoT signature verified; idempotent; acknowledged with 200 before asynchronous processing</w:t>
            </w:r>
          </w:p>
        </w:tc>
      </w:tr>
    </w:tbl>
    <w:p>
      <w:pPr>
        <w:spacing w:after="40"/>
      </w:pPr>
    </w:p>
    <w:p>
      <w:pPr>
        <w:pStyle w:val="Heading3"/>
      </w:pPr>
      <w:r>
        <w:t>Request signing and authentication</w:t>
      </w:r>
    </w:p>
    <w:p>
      <w:pPr>
        <w:pStyle w:val="ListBullet"/>
        <w:spacing w:after="40"/>
      </w:pPr>
      <w:r>
        <w:t>TCB generates an RSA 2048-bit key pair and exchanges public keys with BoT. BoT assigns the interface code, sender code and x-api-key.</w:t>
      </w:r>
    </w:p>
    <w:p>
      <w:pPr>
        <w:pStyle w:val="ListBullet"/>
        <w:spacing w:after="40"/>
      </w:pPr>
      <w:r>
        <w:t>Every request carries interface, sender, x-api-key, x-timestamp and x-signature, plus Authorization: Bearer &lt;token&gt; on all endpoints except /api/auth.</w:t>
      </w:r>
    </w:p>
    <w:p>
      <w:pPr>
        <w:pStyle w:val="ListBullet"/>
        <w:spacing w:after="40"/>
      </w:pPr>
      <w:r>
        <w:t>x-signature = Base64(RSA-SHA256, PKCS#1 v1.5) over the canonical string METHOD \n PATH_AND_QUERY \n TIMESTAMP \n BODY. The adapter signs the exact body bytes it sends.</w:t>
      </w:r>
    </w:p>
    <w:p>
      <w:pPr>
        <w:pStyle w:val="ListBullet"/>
        <w:spacing w:after="40"/>
      </w:pPr>
      <w:r>
        <w:t>The private key is held in the HSM (non-exportable) and signing is done through the HSM. The API key and tokens are held in Vault.</w:t>
      </w:r>
    </w:p>
    <w:p>
      <w:pPr>
        <w:pStyle w:val="ListBullet"/>
        <w:spacing w:after="40"/>
      </w:pPr>
      <w:r>
        <w:t>BoT rejects requests older than 300 seconds, so all adapter nodes are NTP-synchronised to TCB time sources and alert if clock skew exceeds 5 seconds.</w:t>
      </w:r>
    </w:p>
    <w:p>
      <w:pPr>
        <w:pStyle w:val="ListBullet"/>
        <w:spacing w:after="40"/>
      </w:pPr>
      <w:r>
        <w:t>Inbound callbacks are verified against BoT's public key and x-timestamp before processing, and are accepted only from BoT source IPs.</w:t>
      </w:r>
    </w:p>
    <w:p>
      <w:pPr>
        <w:spacing w:after="0"/>
      </w:pPr>
    </w:p>
    <w:p>
      <w:pPr>
        <w:pStyle w:val="Heading3"/>
      </w:pPr>
      <w:r>
        <w:t>Bid submission rules applied before calling BoT</w:t>
      </w:r>
    </w:p>
    <w:p>
      <w:pPr>
        <w:pStyle w:val="ListBullet"/>
        <w:spacing w:after="40"/>
      </w:pPr>
      <w:r>
        <w:t>Batch reference format: 8 alphanumeric characters (BoT-assigned participant code) + YYMMDD + 3-digit sequence, e.g. XXXXXXXX-260930-001. The sequence is allocated centrally, so a retried batch reuses its reference (BoT returns 409 for duplicates).</w:t>
      </w:r>
    </w:p>
    <w:p>
      <w:pPr>
        <w:pStyle w:val="ListBullet"/>
        <w:spacing w:after="40"/>
      </w:pPr>
      <w:r>
        <w:t>Minimum bid amount of TZS 500,000 per bid, enforced in the rules engine so the investor is told at capture time and not after submission.</w:t>
      </w:r>
    </w:p>
    <w:p>
      <w:pPr>
        <w:pStyle w:val="ListBullet"/>
        <w:spacing w:after="40"/>
      </w:pPr>
      <w:r>
        <w:t>Price is sent as a string with two decimals, per 100 face value. The channels show the equivalent yield for information only.</w:t>
      </w:r>
    </w:p>
    <w:p>
      <w:pPr>
        <w:pStyle w:val="ListBullet"/>
        <w:spacing w:after="40"/>
      </w:pPr>
      <w:r>
        <w:t>Each bid's investor CDS security account must already exist. The BoT API does not open CDS accounts (see OI-01).</w:t>
      </w:r>
    </w:p>
    <w:p>
      <w:pPr>
        <w:pStyle w:val="ListBullet"/>
        <w:spacing w:after="40"/>
      </w:pPr>
      <w:r>
        <w:t>BoT bid statuses map to platform states as follows: initiated/processing → SENT_TO_BOT; accepted → SENT_TO_BOT (confirmed); rejected → REJECTED (hold released); allotted → ALLOCATED.</w:t>
      </w:r>
    </w:p>
    <w:p>
      <w:pPr>
        <w:spacing w:after="0"/>
      </w:pPr>
    </w:p>
    <w:p>
      <w:pPr>
        <w:pStyle w:val="Heading3"/>
      </w:pPr>
      <w:r>
        <w:t>Error handling</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1927"/>
        <w:gridCol w:w="7484"/>
      </w:tblGrid>
      <w:tr>
        <w:trPr>
          <w:tblHeader w:val="true"/>
        </w:trPr>
        <w:tc>
          <w:tcPr>
            <w:tcW w:type="dxa" w:w="1928"/>
            <w:vAlign w:val="center"/>
            <w:shd w:val="clear" w:color="auto" w:fill="1F3864"/>
          </w:tcPr>
          <w:p>
            <w:pPr>
              <w:spacing w:after="0"/>
            </w:pPr>
            <w:r/>
            <w:r>
              <w:rPr>
                <w:b/>
                <w:color w:val="FFFFFF"/>
                <w:sz w:val="19"/>
              </w:rPr>
              <w:t>BoT response</w:t>
            </w:r>
          </w:p>
        </w:tc>
        <w:tc>
          <w:tcPr>
            <w:tcW w:type="dxa" w:w="7483"/>
            <w:vAlign w:val="center"/>
            <w:shd w:val="clear" w:color="auto" w:fill="1F3864"/>
          </w:tcPr>
          <w:p>
            <w:pPr>
              <w:spacing w:after="0"/>
            </w:pPr>
            <w:r/>
            <w:r>
              <w:rPr>
                <w:b/>
                <w:color w:val="FFFFFF"/>
                <w:sz w:val="19"/>
              </w:rPr>
              <w:t>Adapter action</w:t>
            </w:r>
          </w:p>
        </w:tc>
      </w:tr>
      <w:tr>
        <w:tc>
          <w:tcPr>
            <w:tcW w:type="dxa" w:w="1928"/>
            <w:vAlign w:val="center"/>
          </w:tcPr>
          <w:p>
            <w:pPr>
              <w:spacing w:after="0"/>
            </w:pPr>
            <w:r/>
            <w:r>
              <w:rPr>
                <w:b w:val="0"/>
                <w:sz w:val="19"/>
              </w:rPr>
              <w:t>400 Bad Request</w:t>
            </w:r>
          </w:p>
        </w:tc>
        <w:tc>
          <w:tcPr>
            <w:tcW w:type="dxa" w:w="7483"/>
            <w:vAlign w:val="center"/>
          </w:tcPr>
          <w:p>
            <w:pPr>
              <w:spacing w:after="0"/>
            </w:pPr>
            <w:r/>
            <w:r>
              <w:rPr>
                <w:b w:val="0"/>
                <w:sz w:val="19"/>
              </w:rPr>
              <w:t>No retry; bid(s) marked for operations review with BoT's code and message</w:t>
            </w:r>
          </w:p>
        </w:tc>
      </w:tr>
      <w:tr>
        <w:tc>
          <w:tcPr>
            <w:tcW w:type="dxa" w:w="1928"/>
            <w:vAlign w:val="center"/>
            <w:shd w:val="clear" w:color="auto" w:fill="F2F2F2"/>
          </w:tcPr>
          <w:p>
            <w:pPr>
              <w:spacing w:after="0"/>
            </w:pPr>
            <w:r/>
            <w:r>
              <w:rPr>
                <w:b w:val="0"/>
                <w:sz w:val="19"/>
              </w:rPr>
              <w:t>401 Unauthorized</w:t>
            </w:r>
          </w:p>
        </w:tc>
        <w:tc>
          <w:tcPr>
            <w:tcW w:type="dxa" w:w="7483"/>
            <w:vAlign w:val="center"/>
            <w:shd w:val="clear" w:color="auto" w:fill="F2F2F2"/>
          </w:tcPr>
          <w:p>
            <w:pPr>
              <w:spacing w:after="0"/>
            </w:pPr>
            <w:r/>
            <w:r>
              <w:rPr>
                <w:b w:val="0"/>
                <w:sz w:val="19"/>
              </w:rPr>
              <w:t>Re-authenticate once via POST /api/auth, then retry; alert if it repeats</w:t>
            </w:r>
          </w:p>
        </w:tc>
      </w:tr>
      <w:tr>
        <w:tc>
          <w:tcPr>
            <w:tcW w:type="dxa" w:w="1928"/>
            <w:vAlign w:val="center"/>
          </w:tcPr>
          <w:p>
            <w:pPr>
              <w:spacing w:after="0"/>
            </w:pPr>
            <w:r/>
            <w:r>
              <w:rPr>
                <w:b w:val="0"/>
                <w:sz w:val="19"/>
              </w:rPr>
              <w:t>403 Forbidden</w:t>
            </w:r>
          </w:p>
        </w:tc>
        <w:tc>
          <w:tcPr>
            <w:tcW w:type="dxa" w:w="7483"/>
            <w:vAlign w:val="center"/>
          </w:tcPr>
          <w:p>
            <w:pPr>
              <w:spacing w:after="0"/>
            </w:pPr>
            <w:r/>
            <w:r>
              <w:rPr>
                <w:b w:val="0"/>
                <w:sz w:val="19"/>
              </w:rPr>
              <w:t>No retry; security alert (signature, IP allow-list or instrument registration problem)</w:t>
            </w:r>
          </w:p>
        </w:tc>
      </w:tr>
      <w:tr>
        <w:tc>
          <w:tcPr>
            <w:tcW w:type="dxa" w:w="1928"/>
            <w:vAlign w:val="center"/>
            <w:shd w:val="clear" w:color="auto" w:fill="F2F2F2"/>
          </w:tcPr>
          <w:p>
            <w:pPr>
              <w:spacing w:after="0"/>
            </w:pPr>
            <w:r/>
            <w:r>
              <w:rPr>
                <w:b w:val="0"/>
                <w:sz w:val="19"/>
              </w:rPr>
              <w:t>404 Not Found</w:t>
            </w:r>
          </w:p>
        </w:tc>
        <w:tc>
          <w:tcPr>
            <w:tcW w:type="dxa" w:w="7483"/>
            <w:vAlign w:val="center"/>
            <w:shd w:val="clear" w:color="auto" w:fill="F2F2F2"/>
          </w:tcPr>
          <w:p>
            <w:pPr>
              <w:spacing w:after="0"/>
            </w:pPr>
            <w:r/>
            <w:r>
              <w:rPr>
                <w:b w:val="0"/>
                <w:sz w:val="19"/>
              </w:rPr>
              <w:t>Refresh auction catalogue; flag the bid or batch for review</w:t>
            </w:r>
          </w:p>
        </w:tc>
      </w:tr>
      <w:tr>
        <w:tc>
          <w:tcPr>
            <w:tcW w:type="dxa" w:w="1928"/>
            <w:vAlign w:val="center"/>
          </w:tcPr>
          <w:p>
            <w:pPr>
              <w:spacing w:after="0"/>
            </w:pPr>
            <w:r/>
            <w:r>
              <w:rPr>
                <w:b w:val="0"/>
                <w:sz w:val="19"/>
              </w:rPr>
              <w:t>409 Conflict</w:t>
            </w:r>
          </w:p>
        </w:tc>
        <w:tc>
          <w:tcPr>
            <w:tcW w:type="dxa" w:w="7483"/>
            <w:vAlign w:val="center"/>
          </w:tcPr>
          <w:p>
            <w:pPr>
              <w:spacing w:after="0"/>
            </w:pPr>
            <w:r/>
            <w:r>
              <w:rPr>
                <w:b w:val="0"/>
                <w:sz w:val="19"/>
              </w:rPr>
              <w:t>Cut-off passed: bids set to REJECTED and holds released. Duplicate reference: treat as already submitted and reconcile via GET /bids</w:t>
            </w:r>
          </w:p>
        </w:tc>
      </w:tr>
      <w:tr>
        <w:tc>
          <w:tcPr>
            <w:tcW w:type="dxa" w:w="1928"/>
            <w:vAlign w:val="center"/>
            <w:shd w:val="clear" w:color="auto" w:fill="F2F2F2"/>
          </w:tcPr>
          <w:p>
            <w:pPr>
              <w:spacing w:after="0"/>
            </w:pPr>
            <w:r/>
            <w:r>
              <w:rPr>
                <w:b w:val="0"/>
                <w:sz w:val="19"/>
              </w:rPr>
              <w:t>500 / timeout</w:t>
            </w:r>
          </w:p>
        </w:tc>
        <w:tc>
          <w:tcPr>
            <w:tcW w:type="dxa" w:w="7483"/>
            <w:vAlign w:val="center"/>
            <w:shd w:val="clear" w:color="auto" w:fill="F2F2F2"/>
          </w:tcPr>
          <w:p>
            <w:pPr>
              <w:spacing w:after="0"/>
            </w:pPr>
            <w:r/>
            <w:r>
              <w:rPr>
                <w:b w:val="0"/>
                <w:sz w:val="19"/>
              </w:rPr>
              <w:t>Retry with exponential back-off and the same batch reference until the cut-off guard time; then escalate to Treasury Operations</w:t>
            </w:r>
          </w:p>
        </w:tc>
      </w:tr>
    </w:tbl>
    <w:p>
      <w:pPr>
        <w:spacing w:after="40"/>
      </w:pPr>
    </w:p>
    <w:p>
      <w:pPr>
        <w:pStyle w:val="Heading2"/>
      </w:pPr>
      <w:r>
        <w:t>7.4 Reconciliation</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1871"/>
        <w:gridCol w:w="2835"/>
        <w:gridCol w:w="2154"/>
        <w:gridCol w:w="2551"/>
      </w:tblGrid>
      <w:tr>
        <w:trPr>
          <w:tblHeader w:val="true"/>
        </w:trPr>
        <w:tc>
          <w:tcPr>
            <w:tcW w:type="dxa" w:w="1871"/>
            <w:vAlign w:val="center"/>
            <w:shd w:val="clear" w:color="auto" w:fill="1F3864"/>
          </w:tcPr>
          <w:p>
            <w:pPr>
              <w:spacing w:after="0"/>
            </w:pPr>
            <w:r/>
            <w:r>
              <w:rPr>
                <w:b/>
                <w:color w:val="FFFFFF"/>
                <w:sz w:val="19"/>
              </w:rPr>
              <w:t>Reconciliation</w:t>
            </w:r>
          </w:p>
        </w:tc>
        <w:tc>
          <w:tcPr>
            <w:tcW w:type="dxa" w:w="2835"/>
            <w:vAlign w:val="center"/>
            <w:shd w:val="clear" w:color="auto" w:fill="1F3864"/>
          </w:tcPr>
          <w:p>
            <w:pPr>
              <w:spacing w:after="0"/>
            </w:pPr>
            <w:r/>
            <w:r>
              <w:rPr>
                <w:b/>
                <w:color w:val="FFFFFF"/>
                <w:sz w:val="19"/>
              </w:rPr>
              <w:t>Sources compared</w:t>
            </w:r>
          </w:p>
        </w:tc>
        <w:tc>
          <w:tcPr>
            <w:tcW w:type="dxa" w:w="2154"/>
            <w:vAlign w:val="center"/>
            <w:shd w:val="clear" w:color="auto" w:fill="1F3864"/>
          </w:tcPr>
          <w:p>
            <w:pPr>
              <w:spacing w:after="0"/>
            </w:pPr>
            <w:r/>
            <w:r>
              <w:rPr>
                <w:b/>
                <w:color w:val="FFFFFF"/>
                <w:sz w:val="19"/>
              </w:rPr>
              <w:t>Frequency</w:t>
            </w:r>
          </w:p>
        </w:tc>
        <w:tc>
          <w:tcPr>
            <w:tcW w:type="dxa" w:w="2551"/>
            <w:vAlign w:val="center"/>
            <w:shd w:val="clear" w:color="auto" w:fill="1F3864"/>
          </w:tcPr>
          <w:p>
            <w:pPr>
              <w:spacing w:after="0"/>
            </w:pPr>
            <w:r/>
            <w:r>
              <w:rPr>
                <w:b/>
                <w:color w:val="FFFFFF"/>
                <w:sz w:val="19"/>
              </w:rPr>
              <w:t>Outcome</w:t>
            </w:r>
          </w:p>
        </w:tc>
      </w:tr>
      <w:tr>
        <w:tc>
          <w:tcPr>
            <w:tcW w:type="dxa" w:w="1871"/>
            <w:vAlign w:val="center"/>
          </w:tcPr>
          <w:p>
            <w:pPr>
              <w:spacing w:after="0"/>
            </w:pPr>
            <w:r/>
            <w:r>
              <w:rPr>
                <w:b w:val="0"/>
                <w:sz w:val="19"/>
              </w:rPr>
              <w:t>Bid vs hold</w:t>
            </w:r>
          </w:p>
        </w:tc>
        <w:tc>
          <w:tcPr>
            <w:tcW w:type="dxa" w:w="2835"/>
            <w:vAlign w:val="center"/>
          </w:tcPr>
          <w:p>
            <w:pPr>
              <w:spacing w:after="0"/>
            </w:pPr>
            <w:r/>
            <w:r>
              <w:rPr>
                <w:b w:val="0"/>
                <w:sz w:val="19"/>
              </w:rPr>
              <w:t>Accepted bids ↔ active CBS holds</w:t>
            </w:r>
          </w:p>
        </w:tc>
        <w:tc>
          <w:tcPr>
            <w:tcW w:type="dxa" w:w="2154"/>
            <w:vAlign w:val="center"/>
          </w:tcPr>
          <w:p>
            <w:pPr>
              <w:spacing w:after="0"/>
            </w:pPr>
            <w:r/>
            <w:r>
              <w:rPr>
                <w:b w:val="0"/>
                <w:sz w:val="19"/>
              </w:rPr>
              <w:t>Hourly on auction days; before cut-off</w:t>
            </w:r>
          </w:p>
        </w:tc>
        <w:tc>
          <w:tcPr>
            <w:tcW w:type="dxa" w:w="2551"/>
            <w:vAlign w:val="center"/>
          </w:tcPr>
          <w:p>
            <w:pPr>
              <w:spacing w:after="0"/>
            </w:pPr>
            <w:r/>
            <w:r>
              <w:rPr>
                <w:b w:val="0"/>
                <w:sz w:val="19"/>
              </w:rPr>
              <w:t>Orphan holds released; unfunded bids blocked</w:t>
            </w:r>
          </w:p>
        </w:tc>
      </w:tr>
      <w:tr>
        <w:tc>
          <w:tcPr>
            <w:tcW w:type="dxa" w:w="1871"/>
            <w:vAlign w:val="center"/>
            <w:shd w:val="clear" w:color="auto" w:fill="F2F2F2"/>
          </w:tcPr>
          <w:p>
            <w:pPr>
              <w:spacing w:after="0"/>
            </w:pPr>
            <w:r/>
            <w:r>
              <w:rPr>
                <w:b w:val="0"/>
                <w:sz w:val="19"/>
              </w:rPr>
              <w:t>Submission</w:t>
            </w:r>
          </w:p>
        </w:tc>
        <w:tc>
          <w:tcPr>
            <w:tcW w:type="dxa" w:w="2835"/>
            <w:vAlign w:val="center"/>
            <w:shd w:val="clear" w:color="auto" w:fill="F2F2F2"/>
          </w:tcPr>
          <w:p>
            <w:pPr>
              <w:spacing w:after="0"/>
            </w:pPr>
            <w:r/>
            <w:r>
              <w:rPr>
                <w:b w:val="0"/>
                <w:sz w:val="19"/>
              </w:rPr>
              <w:t>Platform batch ↔ BoT GET /bids/{ISIN} (by batchReference and requestId)</w:t>
            </w:r>
          </w:p>
        </w:tc>
        <w:tc>
          <w:tcPr>
            <w:tcW w:type="dxa" w:w="2154"/>
            <w:vAlign w:val="center"/>
            <w:shd w:val="clear" w:color="auto" w:fill="F2F2F2"/>
          </w:tcPr>
          <w:p>
            <w:pPr>
              <w:spacing w:after="0"/>
            </w:pPr>
            <w:r/>
            <w:r>
              <w:rPr>
                <w:b w:val="0"/>
                <w:sz w:val="19"/>
              </w:rPr>
              <w:t>Per auction, before cut-off</w:t>
            </w:r>
          </w:p>
        </w:tc>
        <w:tc>
          <w:tcPr>
            <w:tcW w:type="dxa" w:w="2551"/>
            <w:vAlign w:val="center"/>
            <w:shd w:val="clear" w:color="auto" w:fill="F2F2F2"/>
          </w:tcPr>
          <w:p>
            <w:pPr>
              <w:spacing w:after="0"/>
            </w:pPr>
            <w:r/>
            <w:r>
              <w:rPr>
                <w:b w:val="0"/>
                <w:sz w:val="19"/>
              </w:rPr>
              <w:t>Missing or rejected bids flagged before cut-off</w:t>
            </w:r>
          </w:p>
        </w:tc>
      </w:tr>
      <w:tr>
        <w:tc>
          <w:tcPr>
            <w:tcW w:type="dxa" w:w="1871"/>
            <w:vAlign w:val="center"/>
          </w:tcPr>
          <w:p>
            <w:pPr>
              <w:spacing w:after="0"/>
            </w:pPr>
            <w:r/>
            <w:r>
              <w:rPr>
                <w:b w:val="0"/>
                <w:sz w:val="19"/>
              </w:rPr>
              <w:t>Allocation vs settlement</w:t>
            </w:r>
          </w:p>
        </w:tc>
        <w:tc>
          <w:tcPr>
            <w:tcW w:type="dxa" w:w="2835"/>
            <w:vAlign w:val="center"/>
          </w:tcPr>
          <w:p>
            <w:pPr>
              <w:spacing w:after="0"/>
            </w:pPr>
            <w:r/>
            <w:r>
              <w:rPr>
                <w:b w:val="0"/>
                <w:sz w:val="19"/>
              </w:rPr>
              <w:t>BoT results ↔ CBS debits ↔ TISS settlement</w:t>
            </w:r>
          </w:p>
        </w:tc>
        <w:tc>
          <w:tcPr>
            <w:tcW w:type="dxa" w:w="2154"/>
            <w:vAlign w:val="center"/>
          </w:tcPr>
          <w:p>
            <w:pPr>
              <w:spacing w:after="0"/>
            </w:pPr>
            <w:r/>
            <w:r>
              <w:rPr>
                <w:b w:val="0"/>
                <w:sz w:val="19"/>
              </w:rPr>
              <w:t>Value date</w:t>
            </w:r>
          </w:p>
        </w:tc>
        <w:tc>
          <w:tcPr>
            <w:tcW w:type="dxa" w:w="2551"/>
            <w:vAlign w:val="center"/>
          </w:tcPr>
          <w:p>
            <w:pPr>
              <w:spacing w:after="0"/>
            </w:pPr>
            <w:r/>
            <w:r>
              <w:rPr>
                <w:b w:val="0"/>
                <w:sz w:val="19"/>
              </w:rPr>
              <w:t>Settlement breaks routed to exceptions queue</w:t>
            </w:r>
          </w:p>
        </w:tc>
      </w:tr>
      <w:tr>
        <w:tc>
          <w:tcPr>
            <w:tcW w:type="dxa" w:w="1871"/>
            <w:vAlign w:val="center"/>
            <w:shd w:val="clear" w:color="auto" w:fill="F2F2F2"/>
          </w:tcPr>
          <w:p>
            <w:pPr>
              <w:spacing w:after="0"/>
            </w:pPr>
            <w:r/>
            <w:r>
              <w:rPr>
                <w:b w:val="0"/>
                <w:sz w:val="19"/>
              </w:rPr>
              <w:t>Holdings</w:t>
            </w:r>
          </w:p>
        </w:tc>
        <w:tc>
          <w:tcPr>
            <w:tcW w:type="dxa" w:w="2835"/>
            <w:vAlign w:val="center"/>
            <w:shd w:val="clear" w:color="auto" w:fill="F2F2F2"/>
          </w:tcPr>
          <w:p>
            <w:pPr>
              <w:spacing w:after="0"/>
            </w:pPr>
            <w:r/>
            <w:r>
              <w:rPr>
                <w:b w:val="0"/>
                <w:sz w:val="19"/>
              </w:rPr>
              <w:t>Platform holdings ↔ BoT CDS statement</w:t>
            </w:r>
          </w:p>
        </w:tc>
        <w:tc>
          <w:tcPr>
            <w:tcW w:type="dxa" w:w="2154"/>
            <w:vAlign w:val="center"/>
            <w:shd w:val="clear" w:color="auto" w:fill="F2F2F2"/>
          </w:tcPr>
          <w:p>
            <w:pPr>
              <w:spacing w:after="0"/>
            </w:pPr>
            <w:r/>
            <w:r>
              <w:rPr>
                <w:b w:val="0"/>
                <w:sz w:val="19"/>
              </w:rPr>
              <w:t>Daily</w:t>
            </w:r>
          </w:p>
        </w:tc>
        <w:tc>
          <w:tcPr>
            <w:tcW w:type="dxa" w:w="2551"/>
            <w:vAlign w:val="center"/>
            <w:shd w:val="clear" w:color="auto" w:fill="F2F2F2"/>
          </w:tcPr>
          <w:p>
            <w:pPr>
              <w:spacing w:after="0"/>
            </w:pPr>
            <w:r/>
            <w:r>
              <w:rPr>
                <w:b w:val="0"/>
                <w:sz w:val="19"/>
              </w:rPr>
              <w:t>Position breaks investigated within the agreed SLA</w:t>
            </w:r>
          </w:p>
        </w:tc>
      </w:tr>
      <w:tr>
        <w:tc>
          <w:tcPr>
            <w:tcW w:type="dxa" w:w="1871"/>
            <w:vAlign w:val="center"/>
          </w:tcPr>
          <w:p>
            <w:pPr>
              <w:spacing w:after="0"/>
            </w:pPr>
            <w:r/>
            <w:r>
              <w:rPr>
                <w:b w:val="0"/>
                <w:sz w:val="19"/>
              </w:rPr>
              <w:t>Coupons/maturities</w:t>
            </w:r>
          </w:p>
        </w:tc>
        <w:tc>
          <w:tcPr>
            <w:tcW w:type="dxa" w:w="2835"/>
            <w:vAlign w:val="center"/>
          </w:tcPr>
          <w:p>
            <w:pPr>
              <w:spacing w:after="0"/>
            </w:pPr>
            <w:r/>
            <w:r>
              <w:rPr>
                <w:b w:val="0"/>
                <w:sz w:val="19"/>
              </w:rPr>
              <w:t>Expected cash flows ↔ BoT proceeds ↔ investor credits</w:t>
            </w:r>
          </w:p>
        </w:tc>
        <w:tc>
          <w:tcPr>
            <w:tcW w:type="dxa" w:w="2154"/>
            <w:vAlign w:val="center"/>
          </w:tcPr>
          <w:p>
            <w:pPr>
              <w:spacing w:after="0"/>
            </w:pPr>
            <w:r/>
            <w:r>
              <w:rPr>
                <w:b w:val="0"/>
                <w:sz w:val="19"/>
              </w:rPr>
              <w:t>On payment date</w:t>
            </w:r>
          </w:p>
        </w:tc>
        <w:tc>
          <w:tcPr>
            <w:tcW w:type="dxa" w:w="2551"/>
            <w:vAlign w:val="center"/>
          </w:tcPr>
          <w:p>
            <w:pPr>
              <w:spacing w:after="0"/>
            </w:pPr>
            <w:r/>
            <w:r>
              <w:rPr>
                <w:b w:val="0"/>
                <w:sz w:val="19"/>
              </w:rPr>
              <w:t>Unpaid or overpaid items corrected</w:t>
            </w:r>
          </w:p>
        </w:tc>
      </w:tr>
    </w:tbl>
    <w:p>
      <w:pPr>
        <w:spacing w:after="40"/>
      </w:pPr>
    </w:p>
    <w:p>
      <w:pPr>
        <w:pStyle w:val="Heading2"/>
      </w:pPr>
      <w:r>
        <w:t>7.5 Event-Driven Architecture</w:t>
      </w:r>
    </w:p>
    <w:p>
      <w:r>
        <w:rPr>
          <w:i w:val="0"/>
        </w:rPr>
        <w:t>Each service writes its state change and an outbox record in the same database transaction. A relay publishes outbox records to Kafka, so an event is never lost and never published for a rolled-back change. Consumers are idempotent and track processed event IDs.</w:t>
      </w:r>
    </w:p>
    <w:p>
      <w:pPr>
        <w:keepNext/>
        <w:jc w:val="center"/>
      </w:pPr>
      <w:r>
        <w:drawing>
          <wp:inline xmlns:a="http://schemas.openxmlformats.org/drawingml/2006/main" xmlns:pic="http://schemas.openxmlformats.org/drawingml/2006/picture">
            <wp:extent cx="5976000" cy="2778840"/>
            <wp:docPr id="6" name="Picture 6"/>
            <wp:cNvGraphicFramePr>
              <a:graphicFrameLocks noChangeAspect="1"/>
            </wp:cNvGraphicFramePr>
            <a:graphic>
              <a:graphicData uri="http://schemas.openxmlformats.org/drawingml/2006/picture">
                <pic:pic>
                  <pic:nvPicPr>
                    <pic:cNvPr id="0" name="06_events.png"/>
                    <pic:cNvPicPr/>
                  </pic:nvPicPr>
                  <pic:blipFill>
                    <a:blip r:embed="rId16"/>
                    <a:stretch>
                      <a:fillRect/>
                    </a:stretch>
                  </pic:blipFill>
                  <pic:spPr>
                    <a:xfrm>
                      <a:off x="0" y="0"/>
                      <a:ext cx="5976000" cy="2778840"/>
                    </a:xfrm>
                    <a:prstGeom prst="rect"/>
                  </pic:spPr>
                </pic:pic>
              </a:graphicData>
            </a:graphic>
          </wp:inline>
        </w:drawing>
      </w:r>
    </w:p>
    <w:p>
      <w:pPr>
        <w:jc w:val="center"/>
      </w:pPr>
      <w:r>
        <w:rPr>
          <w:i/>
          <w:color w:val="595959"/>
          <w:sz w:val="18"/>
        </w:rPr>
        <w:t>Figure 6 – Event-driven architecture</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3175"/>
        <w:gridCol w:w="2154"/>
        <w:gridCol w:w="4082"/>
      </w:tblGrid>
      <w:tr>
        <w:trPr>
          <w:tblHeader w:val="true"/>
        </w:trPr>
        <w:tc>
          <w:tcPr>
            <w:tcW w:type="dxa" w:w="3175"/>
            <w:vAlign w:val="center"/>
            <w:shd w:val="clear" w:color="auto" w:fill="1F3864"/>
          </w:tcPr>
          <w:p>
            <w:pPr>
              <w:spacing w:after="0"/>
            </w:pPr>
            <w:r/>
            <w:r>
              <w:rPr>
                <w:b/>
                <w:color w:val="FFFFFF"/>
                <w:sz w:val="19"/>
              </w:rPr>
              <w:t>Event</w:t>
            </w:r>
          </w:p>
        </w:tc>
        <w:tc>
          <w:tcPr>
            <w:tcW w:type="dxa" w:w="2154"/>
            <w:vAlign w:val="center"/>
            <w:shd w:val="clear" w:color="auto" w:fill="1F3864"/>
          </w:tcPr>
          <w:p>
            <w:pPr>
              <w:spacing w:after="0"/>
            </w:pPr>
            <w:r/>
            <w:r>
              <w:rPr>
                <w:b/>
                <w:color w:val="FFFFFF"/>
                <w:sz w:val="19"/>
              </w:rPr>
              <w:t>Producer</w:t>
            </w:r>
          </w:p>
        </w:tc>
        <w:tc>
          <w:tcPr>
            <w:tcW w:type="dxa" w:w="4082"/>
            <w:vAlign w:val="center"/>
            <w:shd w:val="clear" w:color="auto" w:fill="1F3864"/>
          </w:tcPr>
          <w:p>
            <w:pPr>
              <w:spacing w:after="0"/>
            </w:pPr>
            <w:r/>
            <w:r>
              <w:rPr>
                <w:b/>
                <w:color w:val="FFFFFF"/>
                <w:sz w:val="19"/>
              </w:rPr>
              <w:t>Main consumers</w:t>
            </w:r>
          </w:p>
        </w:tc>
      </w:tr>
      <w:tr>
        <w:tc>
          <w:tcPr>
            <w:tcW w:type="dxa" w:w="3175"/>
            <w:vAlign w:val="center"/>
          </w:tcPr>
          <w:p>
            <w:pPr>
              <w:spacing w:after="0"/>
            </w:pPr>
            <w:r/>
            <w:r>
              <w:rPr>
                <w:b w:val="0"/>
                <w:sz w:val="19"/>
              </w:rPr>
              <w:t>InvestorRegistered / KycApproved</w:t>
            </w:r>
          </w:p>
        </w:tc>
        <w:tc>
          <w:tcPr>
            <w:tcW w:type="dxa" w:w="2154"/>
            <w:vAlign w:val="center"/>
          </w:tcPr>
          <w:p>
            <w:pPr>
              <w:spacing w:after="0"/>
            </w:pPr>
            <w:r/>
            <w:r>
              <w:rPr>
                <w:b w:val="0"/>
                <w:sz w:val="19"/>
              </w:rPr>
              <w:t>Investor &amp; KYC</w:t>
            </w:r>
          </w:p>
        </w:tc>
        <w:tc>
          <w:tcPr>
            <w:tcW w:type="dxa" w:w="4082"/>
            <w:vAlign w:val="center"/>
          </w:tcPr>
          <w:p>
            <w:pPr>
              <w:spacing w:after="0"/>
            </w:pPr>
            <w:r/>
            <w:r>
              <w:rPr>
                <w:b w:val="0"/>
                <w:sz w:val="19"/>
              </w:rPr>
              <w:t>CDS Account, Notifications, Audit, ODS</w:t>
            </w:r>
          </w:p>
        </w:tc>
      </w:tr>
      <w:tr>
        <w:tc>
          <w:tcPr>
            <w:tcW w:type="dxa" w:w="3175"/>
            <w:vAlign w:val="center"/>
            <w:shd w:val="clear" w:color="auto" w:fill="F2F2F2"/>
          </w:tcPr>
          <w:p>
            <w:pPr>
              <w:spacing w:after="0"/>
            </w:pPr>
            <w:r/>
            <w:r>
              <w:rPr>
                <w:b w:val="0"/>
                <w:sz w:val="19"/>
              </w:rPr>
              <w:t>CdsAccountOpened</w:t>
            </w:r>
          </w:p>
        </w:tc>
        <w:tc>
          <w:tcPr>
            <w:tcW w:type="dxa" w:w="2154"/>
            <w:vAlign w:val="center"/>
            <w:shd w:val="clear" w:color="auto" w:fill="F2F2F2"/>
          </w:tcPr>
          <w:p>
            <w:pPr>
              <w:spacing w:after="0"/>
            </w:pPr>
            <w:r/>
            <w:r>
              <w:rPr>
                <w:b w:val="0"/>
                <w:sz w:val="19"/>
              </w:rPr>
              <w:t>CDS Account</w:t>
            </w:r>
          </w:p>
        </w:tc>
        <w:tc>
          <w:tcPr>
            <w:tcW w:type="dxa" w:w="4082"/>
            <w:vAlign w:val="center"/>
            <w:shd w:val="clear" w:color="auto" w:fill="F2F2F2"/>
          </w:tcPr>
          <w:p>
            <w:pPr>
              <w:spacing w:after="0"/>
            </w:pPr>
            <w:r/>
            <w:r>
              <w:rPr>
                <w:b w:val="0"/>
                <w:sz w:val="19"/>
              </w:rPr>
              <w:t>Notifications, Audit, ODS</w:t>
            </w:r>
          </w:p>
        </w:tc>
      </w:tr>
      <w:tr>
        <w:tc>
          <w:tcPr>
            <w:tcW w:type="dxa" w:w="3175"/>
            <w:vAlign w:val="center"/>
          </w:tcPr>
          <w:p>
            <w:pPr>
              <w:spacing w:after="0"/>
            </w:pPr>
            <w:r/>
            <w:r>
              <w:rPr>
                <w:b w:val="0"/>
                <w:sz w:val="19"/>
              </w:rPr>
              <w:t>AuctionPublished / AuctionClosed</w:t>
            </w:r>
          </w:p>
        </w:tc>
        <w:tc>
          <w:tcPr>
            <w:tcW w:type="dxa" w:w="2154"/>
            <w:vAlign w:val="center"/>
          </w:tcPr>
          <w:p>
            <w:pPr>
              <w:spacing w:after="0"/>
            </w:pPr>
            <w:r/>
            <w:r>
              <w:rPr>
                <w:b w:val="0"/>
                <w:sz w:val="19"/>
              </w:rPr>
              <w:t>Auction Catalogue</w:t>
            </w:r>
          </w:p>
        </w:tc>
        <w:tc>
          <w:tcPr>
            <w:tcW w:type="dxa" w:w="4082"/>
            <w:vAlign w:val="center"/>
          </w:tcPr>
          <w:p>
            <w:pPr>
              <w:spacing w:after="0"/>
            </w:pPr>
            <w:r/>
            <w:r>
              <w:rPr>
                <w:b w:val="0"/>
                <w:sz w:val="19"/>
              </w:rPr>
              <w:t>Notifications, Bidding, ODS</w:t>
            </w:r>
          </w:p>
        </w:tc>
      </w:tr>
      <w:tr>
        <w:tc>
          <w:tcPr>
            <w:tcW w:type="dxa" w:w="3175"/>
            <w:vAlign w:val="center"/>
            <w:shd w:val="clear" w:color="auto" w:fill="F2F2F2"/>
          </w:tcPr>
          <w:p>
            <w:pPr>
              <w:spacing w:after="0"/>
            </w:pPr>
            <w:r/>
            <w:r>
              <w:rPr>
                <w:b w:val="0"/>
                <w:sz w:val="19"/>
              </w:rPr>
              <w:t>BidAccepted / BidWithdrawn / BidRejected</w:t>
            </w:r>
          </w:p>
        </w:tc>
        <w:tc>
          <w:tcPr>
            <w:tcW w:type="dxa" w:w="2154"/>
            <w:vAlign w:val="center"/>
            <w:shd w:val="clear" w:color="auto" w:fill="F2F2F2"/>
          </w:tcPr>
          <w:p>
            <w:pPr>
              <w:spacing w:after="0"/>
            </w:pPr>
            <w:r/>
            <w:r>
              <w:rPr>
                <w:b w:val="0"/>
                <w:sz w:val="19"/>
              </w:rPr>
              <w:t>Bidding</w:t>
            </w:r>
          </w:p>
        </w:tc>
        <w:tc>
          <w:tcPr>
            <w:tcW w:type="dxa" w:w="4082"/>
            <w:vAlign w:val="center"/>
            <w:shd w:val="clear" w:color="auto" w:fill="F2F2F2"/>
          </w:tcPr>
          <w:p>
            <w:pPr>
              <w:spacing w:after="0"/>
            </w:pPr>
            <w:r/>
            <w:r>
              <w:rPr>
                <w:b w:val="0"/>
                <w:sz w:val="19"/>
              </w:rPr>
              <w:t>Payments, Notifications, Audit, ODS</w:t>
            </w:r>
          </w:p>
        </w:tc>
      </w:tr>
      <w:tr>
        <w:tc>
          <w:tcPr>
            <w:tcW w:type="dxa" w:w="3175"/>
            <w:vAlign w:val="center"/>
          </w:tcPr>
          <w:p>
            <w:pPr>
              <w:spacing w:after="0"/>
            </w:pPr>
            <w:r/>
            <w:r>
              <w:rPr>
                <w:b w:val="0"/>
                <w:sz w:val="19"/>
              </w:rPr>
              <w:t>BidsSubmitted</w:t>
            </w:r>
          </w:p>
        </w:tc>
        <w:tc>
          <w:tcPr>
            <w:tcW w:type="dxa" w:w="2154"/>
            <w:vAlign w:val="center"/>
          </w:tcPr>
          <w:p>
            <w:pPr>
              <w:spacing w:after="0"/>
            </w:pPr>
            <w:r/>
            <w:r>
              <w:rPr>
                <w:b w:val="0"/>
                <w:sz w:val="19"/>
              </w:rPr>
              <w:t>Bidding</w:t>
            </w:r>
          </w:p>
        </w:tc>
        <w:tc>
          <w:tcPr>
            <w:tcW w:type="dxa" w:w="4082"/>
            <w:vAlign w:val="center"/>
          </w:tcPr>
          <w:p>
            <w:pPr>
              <w:spacing w:after="0"/>
            </w:pPr>
            <w:r/>
            <w:r>
              <w:rPr>
                <w:b w:val="0"/>
                <w:sz w:val="19"/>
              </w:rPr>
              <w:t>Audit, ODS, Reconciliation</w:t>
            </w:r>
          </w:p>
        </w:tc>
      </w:tr>
      <w:tr>
        <w:tc>
          <w:tcPr>
            <w:tcW w:type="dxa" w:w="3175"/>
            <w:vAlign w:val="center"/>
            <w:shd w:val="clear" w:color="auto" w:fill="F2F2F2"/>
          </w:tcPr>
          <w:p>
            <w:pPr>
              <w:spacing w:after="0"/>
            </w:pPr>
            <w:r/>
            <w:r>
              <w:rPr>
                <w:b w:val="0"/>
                <w:sz w:val="19"/>
              </w:rPr>
              <w:t>BidAllocated / BidUnsuccessful</w:t>
            </w:r>
          </w:p>
        </w:tc>
        <w:tc>
          <w:tcPr>
            <w:tcW w:type="dxa" w:w="2154"/>
            <w:vAlign w:val="center"/>
            <w:shd w:val="clear" w:color="auto" w:fill="F2F2F2"/>
          </w:tcPr>
          <w:p>
            <w:pPr>
              <w:spacing w:after="0"/>
            </w:pPr>
            <w:r/>
            <w:r>
              <w:rPr>
                <w:b w:val="0"/>
                <w:sz w:val="19"/>
              </w:rPr>
              <w:t>Allocation</w:t>
            </w:r>
          </w:p>
        </w:tc>
        <w:tc>
          <w:tcPr>
            <w:tcW w:type="dxa" w:w="4082"/>
            <w:vAlign w:val="center"/>
            <w:shd w:val="clear" w:color="auto" w:fill="F2F2F2"/>
          </w:tcPr>
          <w:p>
            <w:pPr>
              <w:spacing w:after="0"/>
            </w:pPr>
            <w:r/>
            <w:r>
              <w:rPr>
                <w:b w:val="0"/>
                <w:sz w:val="19"/>
              </w:rPr>
              <w:t>Payments, Notifications, Audit, ODS</w:t>
            </w:r>
          </w:p>
        </w:tc>
      </w:tr>
      <w:tr>
        <w:tc>
          <w:tcPr>
            <w:tcW w:type="dxa" w:w="3175"/>
            <w:vAlign w:val="center"/>
          </w:tcPr>
          <w:p>
            <w:pPr>
              <w:spacing w:after="0"/>
            </w:pPr>
            <w:r/>
            <w:r>
              <w:rPr>
                <w:b w:val="0"/>
                <w:sz w:val="19"/>
              </w:rPr>
              <w:t>BidSettled / SettlementFailed</w:t>
            </w:r>
          </w:p>
        </w:tc>
        <w:tc>
          <w:tcPr>
            <w:tcW w:type="dxa" w:w="2154"/>
            <w:vAlign w:val="center"/>
          </w:tcPr>
          <w:p>
            <w:pPr>
              <w:spacing w:after="0"/>
            </w:pPr>
            <w:r/>
            <w:r>
              <w:rPr>
                <w:b w:val="0"/>
                <w:sz w:val="19"/>
              </w:rPr>
              <w:t>Payments</w:t>
            </w:r>
          </w:p>
        </w:tc>
        <w:tc>
          <w:tcPr>
            <w:tcW w:type="dxa" w:w="4082"/>
            <w:vAlign w:val="center"/>
          </w:tcPr>
          <w:p>
            <w:pPr>
              <w:spacing w:after="0"/>
            </w:pPr>
            <w:r/>
            <w:r>
              <w:rPr>
                <w:b w:val="0"/>
                <w:sz w:val="19"/>
              </w:rPr>
              <w:t>Holdings, Notifications, Reconciliation, Audit</w:t>
            </w:r>
          </w:p>
        </w:tc>
      </w:tr>
      <w:tr>
        <w:tc>
          <w:tcPr>
            <w:tcW w:type="dxa" w:w="3175"/>
            <w:vAlign w:val="center"/>
            <w:shd w:val="clear" w:color="auto" w:fill="F2F2F2"/>
          </w:tcPr>
          <w:p>
            <w:pPr>
              <w:spacing w:after="0"/>
            </w:pPr>
            <w:r/>
            <w:r>
              <w:rPr>
                <w:b w:val="0"/>
                <w:sz w:val="19"/>
              </w:rPr>
              <w:t>CouponPaid / SecurityMatured</w:t>
            </w:r>
          </w:p>
        </w:tc>
        <w:tc>
          <w:tcPr>
            <w:tcW w:type="dxa" w:w="2154"/>
            <w:vAlign w:val="center"/>
            <w:shd w:val="clear" w:color="auto" w:fill="F2F2F2"/>
          </w:tcPr>
          <w:p>
            <w:pPr>
              <w:spacing w:after="0"/>
            </w:pPr>
            <w:r/>
            <w:r>
              <w:rPr>
                <w:b w:val="0"/>
                <w:sz w:val="19"/>
              </w:rPr>
              <w:t>Coupons &amp; Redemptions</w:t>
            </w:r>
          </w:p>
        </w:tc>
        <w:tc>
          <w:tcPr>
            <w:tcW w:type="dxa" w:w="4082"/>
            <w:vAlign w:val="center"/>
            <w:shd w:val="clear" w:color="auto" w:fill="F2F2F2"/>
          </w:tcPr>
          <w:p>
            <w:pPr>
              <w:spacing w:after="0"/>
            </w:pPr>
            <w:r/>
            <w:r>
              <w:rPr>
                <w:b w:val="0"/>
                <w:sz w:val="19"/>
              </w:rPr>
              <w:t>Payments, Notifications, ODS</w:t>
            </w:r>
          </w:p>
        </w:tc>
      </w:tr>
    </w:tbl>
    <w:p>
      <w:pPr>
        <w:spacing w:after="40"/>
      </w:pPr>
    </w:p>
    <w:p>
      <w:pPr>
        <w:pStyle w:val="Heading1"/>
      </w:pPr>
      <w:r>
        <w:t>8. API Architecture</w:t>
      </w:r>
    </w:p>
    <w:p>
      <w:pPr>
        <w:pStyle w:val="Heading2"/>
      </w:pPr>
      <w:r>
        <w:t>8.1 API Standards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041"/>
        <w:gridCol w:w="7371"/>
      </w:tblGrid>
      <w:tr>
        <w:trPr>
          <w:tblHeader w:val="true"/>
        </w:trPr>
        <w:tc>
          <w:tcPr>
            <w:tcW w:type="dxa" w:w="2041"/>
            <w:vAlign w:val="center"/>
            <w:shd w:val="clear" w:color="auto" w:fill="1F3864"/>
          </w:tcPr>
          <w:p>
            <w:pPr>
              <w:spacing w:after="0"/>
            </w:pPr>
            <w:r/>
            <w:r>
              <w:rPr>
                <w:b/>
                <w:color w:val="FFFFFF"/>
                <w:sz w:val="19"/>
              </w:rPr>
              <w:t>Aspect</w:t>
            </w:r>
          </w:p>
        </w:tc>
        <w:tc>
          <w:tcPr>
            <w:tcW w:type="dxa" w:w="7370"/>
            <w:vAlign w:val="center"/>
            <w:shd w:val="clear" w:color="auto" w:fill="1F3864"/>
          </w:tcPr>
          <w:p>
            <w:pPr>
              <w:spacing w:after="0"/>
            </w:pPr>
            <w:r/>
            <w:r>
              <w:rPr>
                <w:b/>
                <w:color w:val="FFFFFF"/>
                <w:sz w:val="19"/>
              </w:rPr>
              <w:t>Standard</w:t>
            </w:r>
          </w:p>
        </w:tc>
      </w:tr>
      <w:tr>
        <w:tc>
          <w:tcPr>
            <w:tcW w:type="dxa" w:w="2041"/>
            <w:vAlign w:val="center"/>
          </w:tcPr>
          <w:p>
            <w:pPr>
              <w:spacing w:after="0"/>
            </w:pPr>
            <w:r/>
            <w:r>
              <w:rPr>
                <w:b w:val="0"/>
                <w:sz w:val="19"/>
              </w:rPr>
              <w:t>Style and contract</w:t>
            </w:r>
          </w:p>
        </w:tc>
        <w:tc>
          <w:tcPr>
            <w:tcW w:type="dxa" w:w="7370"/>
            <w:vAlign w:val="center"/>
          </w:tcPr>
          <w:p>
            <w:pPr>
              <w:spacing w:after="0"/>
            </w:pPr>
            <w:r/>
            <w:r>
              <w:rPr>
                <w:b w:val="0"/>
                <w:sz w:val="19"/>
              </w:rPr>
              <w:t>REST over HTTPS with JSON; OpenAPI 3.1 contract per service, published in the API portal; contract-first development</w:t>
            </w:r>
          </w:p>
        </w:tc>
      </w:tr>
      <w:tr>
        <w:tc>
          <w:tcPr>
            <w:tcW w:type="dxa" w:w="2041"/>
            <w:vAlign w:val="center"/>
            <w:shd w:val="clear" w:color="auto" w:fill="F2F2F2"/>
          </w:tcPr>
          <w:p>
            <w:pPr>
              <w:spacing w:after="0"/>
            </w:pPr>
            <w:r/>
            <w:r>
              <w:rPr>
                <w:b w:val="0"/>
                <w:sz w:val="19"/>
              </w:rPr>
              <w:t>Versioning</w:t>
            </w:r>
          </w:p>
        </w:tc>
        <w:tc>
          <w:tcPr>
            <w:tcW w:type="dxa" w:w="7370"/>
            <w:vAlign w:val="center"/>
            <w:shd w:val="clear" w:color="auto" w:fill="F2F2F2"/>
          </w:tcPr>
          <w:p>
            <w:pPr>
              <w:spacing w:after="0"/>
            </w:pPr>
            <w:r/>
            <w:r>
              <w:rPr>
                <w:b w:val="0"/>
                <w:sz w:val="19"/>
              </w:rPr>
              <w:t>URI major version (/v1/…); backward-compatible changes only within a version; 6-month deprecation window</w:t>
            </w:r>
          </w:p>
        </w:tc>
      </w:tr>
      <w:tr>
        <w:tc>
          <w:tcPr>
            <w:tcW w:type="dxa" w:w="2041"/>
            <w:vAlign w:val="center"/>
          </w:tcPr>
          <w:p>
            <w:pPr>
              <w:spacing w:after="0"/>
            </w:pPr>
            <w:r/>
            <w:r>
              <w:rPr>
                <w:b w:val="0"/>
                <w:sz w:val="19"/>
              </w:rPr>
              <w:t>Security</w:t>
            </w:r>
          </w:p>
        </w:tc>
        <w:tc>
          <w:tcPr>
            <w:tcW w:type="dxa" w:w="7370"/>
            <w:vAlign w:val="center"/>
          </w:tcPr>
          <w:p>
            <w:pPr>
              <w:spacing w:after="0"/>
            </w:pPr>
            <w:r/>
            <w:r>
              <w:rPr>
                <w:b w:val="0"/>
                <w:sz w:val="19"/>
              </w:rPr>
              <w:t>OAuth 2.0 / OIDC access tokens (JWT) validated at the gateway; scopes per channel and role; mTLS between gateway and services</w:t>
            </w:r>
          </w:p>
        </w:tc>
      </w:tr>
      <w:tr>
        <w:tc>
          <w:tcPr>
            <w:tcW w:type="dxa" w:w="2041"/>
            <w:vAlign w:val="center"/>
            <w:shd w:val="clear" w:color="auto" w:fill="F2F2F2"/>
          </w:tcPr>
          <w:p>
            <w:pPr>
              <w:spacing w:after="0"/>
            </w:pPr>
            <w:r/>
            <w:r>
              <w:rPr>
                <w:b w:val="0"/>
                <w:sz w:val="19"/>
              </w:rPr>
              <w:t>Idempotency</w:t>
            </w:r>
          </w:p>
        </w:tc>
        <w:tc>
          <w:tcPr>
            <w:tcW w:type="dxa" w:w="7370"/>
            <w:vAlign w:val="center"/>
            <w:shd w:val="clear" w:color="auto" w:fill="F2F2F2"/>
          </w:tcPr>
          <w:p>
            <w:pPr>
              <w:spacing w:after="0"/>
            </w:pPr>
            <w:r/>
            <w:r>
              <w:rPr>
                <w:b w:val="0"/>
                <w:sz w:val="19"/>
              </w:rPr>
              <w:t>Idempotency-Key header required on all POST requests that create financial effects (bids, holds, payments)</w:t>
            </w:r>
          </w:p>
        </w:tc>
      </w:tr>
      <w:tr>
        <w:tc>
          <w:tcPr>
            <w:tcW w:type="dxa" w:w="2041"/>
            <w:vAlign w:val="center"/>
          </w:tcPr>
          <w:p>
            <w:pPr>
              <w:spacing w:after="0"/>
            </w:pPr>
            <w:r/>
            <w:r>
              <w:rPr>
                <w:b w:val="0"/>
                <w:sz w:val="19"/>
              </w:rPr>
              <w:t>Traceability</w:t>
            </w:r>
          </w:p>
        </w:tc>
        <w:tc>
          <w:tcPr>
            <w:tcW w:type="dxa" w:w="7370"/>
            <w:vAlign w:val="center"/>
          </w:tcPr>
          <w:p>
            <w:pPr>
              <w:spacing w:after="0"/>
            </w:pPr>
            <w:r/>
            <w:r>
              <w:rPr>
                <w:b w:val="0"/>
                <w:sz w:val="19"/>
              </w:rPr>
              <w:t>X-Correlation-ID propagated end to end and written to logs, traces and audit events</w:t>
            </w:r>
          </w:p>
        </w:tc>
      </w:tr>
      <w:tr>
        <w:tc>
          <w:tcPr>
            <w:tcW w:type="dxa" w:w="2041"/>
            <w:vAlign w:val="center"/>
            <w:shd w:val="clear" w:color="auto" w:fill="F2F2F2"/>
          </w:tcPr>
          <w:p>
            <w:pPr>
              <w:spacing w:after="0"/>
            </w:pPr>
            <w:r/>
            <w:r>
              <w:rPr>
                <w:b w:val="0"/>
                <w:sz w:val="19"/>
              </w:rPr>
              <w:t>Errors</w:t>
            </w:r>
          </w:p>
        </w:tc>
        <w:tc>
          <w:tcPr>
            <w:tcW w:type="dxa" w:w="7370"/>
            <w:vAlign w:val="center"/>
            <w:shd w:val="clear" w:color="auto" w:fill="F2F2F2"/>
          </w:tcPr>
          <w:p>
            <w:pPr>
              <w:spacing w:after="0"/>
            </w:pPr>
            <w:r/>
            <w:r>
              <w:rPr>
                <w:b w:val="0"/>
                <w:sz w:val="19"/>
              </w:rPr>
              <w:t>RFC 7807 problem+json with stable error codes (e.g. BID_CUTOFF_PASSED, INSUFFICIENT_FUNDS)</w:t>
            </w:r>
          </w:p>
        </w:tc>
      </w:tr>
      <w:tr>
        <w:tc>
          <w:tcPr>
            <w:tcW w:type="dxa" w:w="2041"/>
            <w:vAlign w:val="center"/>
          </w:tcPr>
          <w:p>
            <w:pPr>
              <w:spacing w:after="0"/>
            </w:pPr>
            <w:r/>
            <w:r>
              <w:rPr>
                <w:b w:val="0"/>
                <w:sz w:val="19"/>
              </w:rPr>
              <w:t>Data formats</w:t>
            </w:r>
          </w:p>
        </w:tc>
        <w:tc>
          <w:tcPr>
            <w:tcW w:type="dxa" w:w="7370"/>
            <w:vAlign w:val="center"/>
          </w:tcPr>
          <w:p>
            <w:pPr>
              <w:spacing w:after="0"/>
            </w:pPr>
            <w:r/>
            <w:r>
              <w:rPr>
                <w:b w:val="0"/>
                <w:sz w:val="19"/>
              </w:rPr>
              <w:t>ISO 8601 timestamps in UTC with EAT display; amounts as decimal strings with currency (TZS); ISIN for securities</w:t>
            </w:r>
          </w:p>
        </w:tc>
      </w:tr>
      <w:tr>
        <w:tc>
          <w:tcPr>
            <w:tcW w:type="dxa" w:w="2041"/>
            <w:vAlign w:val="center"/>
            <w:shd w:val="clear" w:color="auto" w:fill="F2F2F2"/>
          </w:tcPr>
          <w:p>
            <w:pPr>
              <w:spacing w:after="0"/>
            </w:pPr>
            <w:r/>
            <w:r>
              <w:rPr>
                <w:b w:val="0"/>
                <w:sz w:val="19"/>
              </w:rPr>
              <w:t>Limits</w:t>
            </w:r>
          </w:p>
        </w:tc>
        <w:tc>
          <w:tcPr>
            <w:tcW w:type="dxa" w:w="7370"/>
            <w:vAlign w:val="center"/>
            <w:shd w:val="clear" w:color="auto" w:fill="F2F2F2"/>
          </w:tcPr>
          <w:p>
            <w:pPr>
              <w:spacing w:after="0"/>
            </w:pPr>
            <w:r/>
            <w:r>
              <w:rPr>
                <w:b w:val="0"/>
                <w:sz w:val="19"/>
              </w:rPr>
              <w:t>Rate limits and quotas per channel and client at the gateway; cursor-based pagination on lists</w:t>
            </w:r>
          </w:p>
        </w:tc>
      </w:tr>
    </w:tbl>
    <w:p>
      <w:pPr>
        <w:spacing w:after="40"/>
      </w:pPr>
    </w:p>
    <w:p>
      <w:pPr>
        <w:pStyle w:val="Heading2"/>
      </w:pPr>
      <w:r>
        <w:t>8.2 Key Endpoints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1360"/>
        <w:gridCol w:w="3175"/>
        <w:gridCol w:w="2948"/>
        <w:gridCol w:w="1927"/>
      </w:tblGrid>
      <w:tr>
        <w:trPr>
          <w:tblHeader w:val="true"/>
        </w:trPr>
        <w:tc>
          <w:tcPr>
            <w:tcW w:type="dxa" w:w="1361"/>
            <w:vAlign w:val="center"/>
            <w:shd w:val="clear" w:color="auto" w:fill="1F3864"/>
          </w:tcPr>
          <w:p>
            <w:pPr>
              <w:spacing w:after="0"/>
            </w:pPr>
            <w:r/>
            <w:r>
              <w:rPr>
                <w:b/>
                <w:color w:val="FFFFFF"/>
                <w:sz w:val="17"/>
              </w:rPr>
              <w:t>Method</w:t>
            </w:r>
          </w:p>
        </w:tc>
        <w:tc>
          <w:tcPr>
            <w:tcW w:type="dxa" w:w="3175"/>
            <w:vAlign w:val="center"/>
            <w:shd w:val="clear" w:color="auto" w:fill="1F3864"/>
          </w:tcPr>
          <w:p>
            <w:pPr>
              <w:spacing w:after="0"/>
            </w:pPr>
            <w:r/>
            <w:r>
              <w:rPr>
                <w:b/>
                <w:color w:val="FFFFFF"/>
                <w:sz w:val="17"/>
              </w:rPr>
              <w:t>Endpoint</w:t>
            </w:r>
          </w:p>
        </w:tc>
        <w:tc>
          <w:tcPr>
            <w:tcW w:type="dxa" w:w="2948"/>
            <w:vAlign w:val="center"/>
            <w:shd w:val="clear" w:color="auto" w:fill="1F3864"/>
          </w:tcPr>
          <w:p>
            <w:pPr>
              <w:spacing w:after="0"/>
            </w:pPr>
            <w:r/>
            <w:r>
              <w:rPr>
                <w:b/>
                <w:color w:val="FFFFFF"/>
                <w:sz w:val="17"/>
              </w:rPr>
              <w:t>Purpose</w:t>
            </w:r>
          </w:p>
        </w:tc>
        <w:tc>
          <w:tcPr>
            <w:tcW w:type="dxa" w:w="1928"/>
            <w:vAlign w:val="center"/>
            <w:shd w:val="clear" w:color="auto" w:fill="1F3864"/>
          </w:tcPr>
          <w:p>
            <w:pPr>
              <w:spacing w:after="0"/>
            </w:pPr>
            <w:r/>
            <w:r>
              <w:rPr>
                <w:b/>
                <w:color w:val="FFFFFF"/>
                <w:sz w:val="17"/>
              </w:rPr>
              <w:t>Consumers</w:t>
            </w:r>
          </w:p>
        </w:tc>
      </w:tr>
      <w:tr>
        <w:tc>
          <w:tcPr>
            <w:tcW w:type="dxa" w:w="1361"/>
            <w:vAlign w:val="center"/>
          </w:tcPr>
          <w:p>
            <w:pPr>
              <w:spacing w:after="0"/>
            </w:pPr>
            <w:r/>
            <w:r>
              <w:rPr>
                <w:b w:val="0"/>
                <w:sz w:val="17"/>
              </w:rPr>
              <w:t>POST</w:t>
            </w:r>
          </w:p>
        </w:tc>
        <w:tc>
          <w:tcPr>
            <w:tcW w:type="dxa" w:w="3175"/>
            <w:vAlign w:val="center"/>
          </w:tcPr>
          <w:p>
            <w:pPr>
              <w:spacing w:after="0"/>
            </w:pPr>
            <w:r/>
            <w:r>
              <w:rPr>
                <w:b w:val="0"/>
                <w:sz w:val="17"/>
              </w:rPr>
              <w:t>/v1/investors</w:t>
            </w:r>
          </w:p>
        </w:tc>
        <w:tc>
          <w:tcPr>
            <w:tcW w:type="dxa" w:w="2948"/>
            <w:vAlign w:val="center"/>
          </w:tcPr>
          <w:p>
            <w:pPr>
              <w:spacing w:after="0"/>
            </w:pPr>
            <w:r/>
            <w:r>
              <w:rPr>
                <w:b w:val="0"/>
                <w:sz w:val="17"/>
              </w:rPr>
              <w:t>Register investor and start KYC</w:t>
            </w:r>
          </w:p>
        </w:tc>
        <w:tc>
          <w:tcPr>
            <w:tcW w:type="dxa" w:w="1928"/>
            <w:vAlign w:val="center"/>
          </w:tcPr>
          <w:p>
            <w:pPr>
              <w:spacing w:after="0"/>
            </w:pPr>
            <w:r/>
            <w:r>
              <w:rPr>
                <w:b w:val="0"/>
                <w:sz w:val="17"/>
              </w:rPr>
              <w:t>All channels</w:t>
            </w:r>
          </w:p>
        </w:tc>
      </w:tr>
      <w:tr>
        <w:tc>
          <w:tcPr>
            <w:tcW w:type="dxa" w:w="1361"/>
            <w:vAlign w:val="center"/>
            <w:shd w:val="clear" w:color="auto" w:fill="F2F2F2"/>
          </w:tcPr>
          <w:p>
            <w:pPr>
              <w:spacing w:after="0"/>
            </w:pPr>
            <w:r/>
            <w:r>
              <w:rPr>
                <w:b w:val="0"/>
                <w:sz w:val="17"/>
              </w:rPr>
              <w:t>POST</w:t>
            </w:r>
          </w:p>
        </w:tc>
        <w:tc>
          <w:tcPr>
            <w:tcW w:type="dxa" w:w="3175"/>
            <w:vAlign w:val="center"/>
            <w:shd w:val="clear" w:color="auto" w:fill="F2F2F2"/>
          </w:tcPr>
          <w:p>
            <w:pPr>
              <w:spacing w:after="0"/>
            </w:pPr>
            <w:r/>
            <w:r>
              <w:rPr>
                <w:b w:val="0"/>
                <w:sz w:val="17"/>
              </w:rPr>
              <w:t>/v1/investors/{id}/documents</w:t>
            </w:r>
          </w:p>
        </w:tc>
        <w:tc>
          <w:tcPr>
            <w:tcW w:type="dxa" w:w="2948"/>
            <w:vAlign w:val="center"/>
            <w:shd w:val="clear" w:color="auto" w:fill="F2F2F2"/>
          </w:tcPr>
          <w:p>
            <w:pPr>
              <w:spacing w:after="0"/>
            </w:pPr>
            <w:r/>
            <w:r>
              <w:rPr>
                <w:b w:val="0"/>
                <w:sz w:val="17"/>
              </w:rPr>
              <w:t>Upload KYC documents</w:t>
            </w:r>
          </w:p>
        </w:tc>
        <w:tc>
          <w:tcPr>
            <w:tcW w:type="dxa" w:w="1928"/>
            <w:vAlign w:val="center"/>
            <w:shd w:val="clear" w:color="auto" w:fill="F2F2F2"/>
          </w:tcPr>
          <w:p>
            <w:pPr>
              <w:spacing w:after="0"/>
            </w:pPr>
            <w:r/>
            <w:r>
              <w:rPr>
                <w:b w:val="0"/>
                <w:sz w:val="17"/>
              </w:rPr>
              <w:t>Web, Mobile, Back-office</w:t>
            </w:r>
          </w:p>
        </w:tc>
      </w:tr>
      <w:tr>
        <w:tc>
          <w:tcPr>
            <w:tcW w:type="dxa" w:w="1361"/>
            <w:vAlign w:val="center"/>
          </w:tcPr>
          <w:p>
            <w:pPr>
              <w:spacing w:after="0"/>
            </w:pPr>
            <w:r/>
            <w:r>
              <w:rPr>
                <w:b w:val="0"/>
                <w:sz w:val="17"/>
              </w:rPr>
              <w:t>POST</w:t>
            </w:r>
          </w:p>
        </w:tc>
        <w:tc>
          <w:tcPr>
            <w:tcW w:type="dxa" w:w="3175"/>
            <w:vAlign w:val="center"/>
          </w:tcPr>
          <w:p>
            <w:pPr>
              <w:spacing w:after="0"/>
            </w:pPr>
            <w:r/>
            <w:r>
              <w:rPr>
                <w:b w:val="0"/>
                <w:sz w:val="17"/>
              </w:rPr>
              <w:t>/v1/investors/{id}/cds-accounts</w:t>
            </w:r>
          </w:p>
        </w:tc>
        <w:tc>
          <w:tcPr>
            <w:tcW w:type="dxa" w:w="2948"/>
            <w:vAlign w:val="center"/>
          </w:tcPr>
          <w:p>
            <w:pPr>
              <w:spacing w:after="0"/>
            </w:pPr>
            <w:r/>
            <w:r>
              <w:rPr>
                <w:b w:val="0"/>
                <w:sz w:val="17"/>
              </w:rPr>
              <w:t>Initiate CDS account opening</w:t>
            </w:r>
          </w:p>
        </w:tc>
        <w:tc>
          <w:tcPr>
            <w:tcW w:type="dxa" w:w="1928"/>
            <w:vAlign w:val="center"/>
          </w:tcPr>
          <w:p>
            <w:pPr>
              <w:spacing w:after="0"/>
            </w:pPr>
            <w:r/>
            <w:r>
              <w:rPr>
                <w:b w:val="0"/>
                <w:sz w:val="17"/>
              </w:rPr>
              <w:t>All channels</w:t>
            </w:r>
          </w:p>
        </w:tc>
      </w:tr>
      <w:tr>
        <w:tc>
          <w:tcPr>
            <w:tcW w:type="dxa" w:w="1361"/>
            <w:vAlign w:val="center"/>
            <w:shd w:val="clear" w:color="auto" w:fill="F2F2F2"/>
          </w:tcPr>
          <w:p>
            <w:pPr>
              <w:spacing w:after="0"/>
            </w:pPr>
            <w:r/>
            <w:r>
              <w:rPr>
                <w:b w:val="0"/>
                <w:sz w:val="17"/>
              </w:rPr>
              <w:t>GET</w:t>
            </w:r>
          </w:p>
        </w:tc>
        <w:tc>
          <w:tcPr>
            <w:tcW w:type="dxa" w:w="3175"/>
            <w:vAlign w:val="center"/>
            <w:shd w:val="clear" w:color="auto" w:fill="F2F2F2"/>
          </w:tcPr>
          <w:p>
            <w:pPr>
              <w:spacing w:after="0"/>
            </w:pPr>
            <w:r/>
            <w:r>
              <w:rPr>
                <w:b w:val="0"/>
                <w:sz w:val="17"/>
              </w:rPr>
              <w:t>/v1/auctions?status=OPEN</w:t>
            </w:r>
          </w:p>
        </w:tc>
        <w:tc>
          <w:tcPr>
            <w:tcW w:type="dxa" w:w="2948"/>
            <w:vAlign w:val="center"/>
            <w:shd w:val="clear" w:color="auto" w:fill="F2F2F2"/>
          </w:tcPr>
          <w:p>
            <w:pPr>
              <w:spacing w:after="0"/>
            </w:pPr>
            <w:r/>
            <w:r>
              <w:rPr>
                <w:b w:val="0"/>
                <w:sz w:val="17"/>
              </w:rPr>
              <w:t>List open auctions</w:t>
            </w:r>
          </w:p>
        </w:tc>
        <w:tc>
          <w:tcPr>
            <w:tcW w:type="dxa" w:w="1928"/>
            <w:vAlign w:val="center"/>
            <w:shd w:val="clear" w:color="auto" w:fill="F2F2F2"/>
          </w:tcPr>
          <w:p>
            <w:pPr>
              <w:spacing w:after="0"/>
            </w:pPr>
            <w:r/>
            <w:r>
              <w:rPr>
                <w:b w:val="0"/>
                <w:sz w:val="17"/>
              </w:rPr>
              <w:t>All channels</w:t>
            </w:r>
          </w:p>
        </w:tc>
      </w:tr>
      <w:tr>
        <w:tc>
          <w:tcPr>
            <w:tcW w:type="dxa" w:w="1361"/>
            <w:vAlign w:val="center"/>
          </w:tcPr>
          <w:p>
            <w:pPr>
              <w:spacing w:after="0"/>
            </w:pPr>
            <w:r/>
            <w:r>
              <w:rPr>
                <w:b w:val="0"/>
                <w:sz w:val="17"/>
              </w:rPr>
              <w:t>POST</w:t>
            </w:r>
          </w:p>
        </w:tc>
        <w:tc>
          <w:tcPr>
            <w:tcW w:type="dxa" w:w="3175"/>
            <w:vAlign w:val="center"/>
          </w:tcPr>
          <w:p>
            <w:pPr>
              <w:spacing w:after="0"/>
            </w:pPr>
            <w:r/>
            <w:r>
              <w:rPr>
                <w:b w:val="0"/>
                <w:sz w:val="17"/>
              </w:rPr>
              <w:t>/v1/bids</w:t>
            </w:r>
          </w:p>
        </w:tc>
        <w:tc>
          <w:tcPr>
            <w:tcW w:type="dxa" w:w="2948"/>
            <w:vAlign w:val="center"/>
          </w:tcPr>
          <w:p>
            <w:pPr>
              <w:spacing w:after="0"/>
            </w:pPr>
            <w:r/>
            <w:r>
              <w:rPr>
                <w:b w:val="0"/>
                <w:sz w:val="17"/>
              </w:rPr>
              <w:t>Submit a bid (creates funds hold)</w:t>
            </w:r>
          </w:p>
        </w:tc>
        <w:tc>
          <w:tcPr>
            <w:tcW w:type="dxa" w:w="1928"/>
            <w:vAlign w:val="center"/>
          </w:tcPr>
          <w:p>
            <w:pPr>
              <w:spacing w:after="0"/>
            </w:pPr>
            <w:r/>
            <w:r>
              <w:rPr>
                <w:b w:val="0"/>
                <w:sz w:val="17"/>
              </w:rPr>
              <w:t>All channels</w:t>
            </w:r>
          </w:p>
        </w:tc>
      </w:tr>
      <w:tr>
        <w:tc>
          <w:tcPr>
            <w:tcW w:type="dxa" w:w="1361"/>
            <w:vAlign w:val="center"/>
            <w:shd w:val="clear" w:color="auto" w:fill="F2F2F2"/>
          </w:tcPr>
          <w:p>
            <w:pPr>
              <w:spacing w:after="0"/>
            </w:pPr>
            <w:r/>
            <w:r>
              <w:rPr>
                <w:b w:val="0"/>
                <w:sz w:val="17"/>
              </w:rPr>
              <w:t>PATCH / DELETE</w:t>
            </w:r>
          </w:p>
        </w:tc>
        <w:tc>
          <w:tcPr>
            <w:tcW w:type="dxa" w:w="3175"/>
            <w:vAlign w:val="center"/>
            <w:shd w:val="clear" w:color="auto" w:fill="F2F2F2"/>
          </w:tcPr>
          <w:p>
            <w:pPr>
              <w:spacing w:after="0"/>
            </w:pPr>
            <w:r/>
            <w:r>
              <w:rPr>
                <w:b w:val="0"/>
                <w:sz w:val="17"/>
              </w:rPr>
              <w:t>/v1/bids/{bidRef}</w:t>
            </w:r>
          </w:p>
        </w:tc>
        <w:tc>
          <w:tcPr>
            <w:tcW w:type="dxa" w:w="2948"/>
            <w:vAlign w:val="center"/>
            <w:shd w:val="clear" w:color="auto" w:fill="F2F2F2"/>
          </w:tcPr>
          <w:p>
            <w:pPr>
              <w:spacing w:after="0"/>
            </w:pPr>
            <w:r/>
            <w:r>
              <w:rPr>
                <w:b w:val="0"/>
                <w:sz w:val="17"/>
              </w:rPr>
              <w:t>Amend or withdraw before cut-off</w:t>
            </w:r>
          </w:p>
        </w:tc>
        <w:tc>
          <w:tcPr>
            <w:tcW w:type="dxa" w:w="1928"/>
            <w:vAlign w:val="center"/>
            <w:shd w:val="clear" w:color="auto" w:fill="F2F2F2"/>
          </w:tcPr>
          <w:p>
            <w:pPr>
              <w:spacing w:after="0"/>
            </w:pPr>
            <w:r/>
            <w:r>
              <w:rPr>
                <w:b w:val="0"/>
                <w:sz w:val="17"/>
              </w:rPr>
              <w:t>All channels</w:t>
            </w:r>
          </w:p>
        </w:tc>
      </w:tr>
      <w:tr>
        <w:tc>
          <w:tcPr>
            <w:tcW w:type="dxa" w:w="1361"/>
            <w:vAlign w:val="center"/>
          </w:tcPr>
          <w:p>
            <w:pPr>
              <w:spacing w:after="0"/>
            </w:pPr>
            <w:r/>
            <w:r>
              <w:rPr>
                <w:b w:val="0"/>
                <w:sz w:val="17"/>
              </w:rPr>
              <w:t>GET</w:t>
            </w:r>
          </w:p>
        </w:tc>
        <w:tc>
          <w:tcPr>
            <w:tcW w:type="dxa" w:w="3175"/>
            <w:vAlign w:val="center"/>
          </w:tcPr>
          <w:p>
            <w:pPr>
              <w:spacing w:after="0"/>
            </w:pPr>
            <w:r/>
            <w:r>
              <w:rPr>
                <w:b w:val="0"/>
                <w:sz w:val="17"/>
              </w:rPr>
              <w:t>/v1/bids?investorId=…</w:t>
            </w:r>
          </w:p>
        </w:tc>
        <w:tc>
          <w:tcPr>
            <w:tcW w:type="dxa" w:w="2948"/>
            <w:vAlign w:val="center"/>
          </w:tcPr>
          <w:p>
            <w:pPr>
              <w:spacing w:after="0"/>
            </w:pPr>
            <w:r/>
            <w:r>
              <w:rPr>
                <w:b w:val="0"/>
                <w:sz w:val="17"/>
              </w:rPr>
              <w:t>Bid history and status</w:t>
            </w:r>
          </w:p>
        </w:tc>
        <w:tc>
          <w:tcPr>
            <w:tcW w:type="dxa" w:w="1928"/>
            <w:vAlign w:val="center"/>
          </w:tcPr>
          <w:p>
            <w:pPr>
              <w:spacing w:after="0"/>
            </w:pPr>
            <w:r/>
            <w:r>
              <w:rPr>
                <w:b w:val="0"/>
                <w:sz w:val="17"/>
              </w:rPr>
              <w:t>All channels</w:t>
            </w:r>
          </w:p>
        </w:tc>
      </w:tr>
      <w:tr>
        <w:tc>
          <w:tcPr>
            <w:tcW w:type="dxa" w:w="1361"/>
            <w:vAlign w:val="center"/>
            <w:shd w:val="clear" w:color="auto" w:fill="F2F2F2"/>
          </w:tcPr>
          <w:p>
            <w:pPr>
              <w:spacing w:after="0"/>
            </w:pPr>
            <w:r/>
            <w:r>
              <w:rPr>
                <w:b w:val="0"/>
                <w:sz w:val="17"/>
              </w:rPr>
              <w:t>GET</w:t>
            </w:r>
          </w:p>
        </w:tc>
        <w:tc>
          <w:tcPr>
            <w:tcW w:type="dxa" w:w="3175"/>
            <w:vAlign w:val="center"/>
            <w:shd w:val="clear" w:color="auto" w:fill="F2F2F2"/>
          </w:tcPr>
          <w:p>
            <w:pPr>
              <w:spacing w:after="0"/>
            </w:pPr>
            <w:r/>
            <w:r>
              <w:rPr>
                <w:b w:val="0"/>
                <w:sz w:val="17"/>
              </w:rPr>
              <w:t>/v1/holdings, /v1/statements</w:t>
            </w:r>
          </w:p>
        </w:tc>
        <w:tc>
          <w:tcPr>
            <w:tcW w:type="dxa" w:w="2948"/>
            <w:vAlign w:val="center"/>
            <w:shd w:val="clear" w:color="auto" w:fill="F2F2F2"/>
          </w:tcPr>
          <w:p>
            <w:pPr>
              <w:spacing w:after="0"/>
            </w:pPr>
            <w:r/>
            <w:r>
              <w:rPr>
                <w:b w:val="0"/>
                <w:sz w:val="17"/>
              </w:rPr>
              <w:t>Portfolio, statements, confirmations</w:t>
            </w:r>
          </w:p>
        </w:tc>
        <w:tc>
          <w:tcPr>
            <w:tcW w:type="dxa" w:w="1928"/>
            <w:vAlign w:val="center"/>
            <w:shd w:val="clear" w:color="auto" w:fill="F2F2F2"/>
          </w:tcPr>
          <w:p>
            <w:pPr>
              <w:spacing w:after="0"/>
            </w:pPr>
            <w:r/>
            <w:r>
              <w:rPr>
                <w:b w:val="0"/>
                <w:sz w:val="17"/>
              </w:rPr>
              <w:t>All channels</w:t>
            </w:r>
          </w:p>
        </w:tc>
      </w:tr>
      <w:tr>
        <w:tc>
          <w:tcPr>
            <w:tcW w:type="dxa" w:w="1361"/>
            <w:vAlign w:val="center"/>
          </w:tcPr>
          <w:p>
            <w:pPr>
              <w:spacing w:after="0"/>
            </w:pPr>
            <w:r/>
            <w:r>
              <w:rPr>
                <w:b w:val="0"/>
                <w:sz w:val="17"/>
              </w:rPr>
              <w:t>POST</w:t>
            </w:r>
          </w:p>
        </w:tc>
        <w:tc>
          <w:tcPr>
            <w:tcW w:type="dxa" w:w="3175"/>
            <w:vAlign w:val="center"/>
          </w:tcPr>
          <w:p>
            <w:pPr>
              <w:spacing w:after="0"/>
            </w:pPr>
            <w:r/>
            <w:r>
              <w:rPr>
                <w:b w:val="0"/>
                <w:sz w:val="17"/>
              </w:rPr>
              <w:t>/v1/ops/auctions/{no}/submissions</w:t>
            </w:r>
          </w:p>
        </w:tc>
        <w:tc>
          <w:tcPr>
            <w:tcW w:type="dxa" w:w="2948"/>
            <w:vAlign w:val="center"/>
          </w:tcPr>
          <w:p>
            <w:pPr>
              <w:spacing w:after="0"/>
            </w:pPr>
            <w:r/>
            <w:r>
              <w:rPr>
                <w:b w:val="0"/>
                <w:sz w:val="17"/>
              </w:rPr>
              <w:t>Prepare consolidated submission (maker)</w:t>
            </w:r>
          </w:p>
        </w:tc>
        <w:tc>
          <w:tcPr>
            <w:tcW w:type="dxa" w:w="1928"/>
            <w:vAlign w:val="center"/>
          </w:tcPr>
          <w:p>
            <w:pPr>
              <w:spacing w:after="0"/>
            </w:pPr>
            <w:r/>
            <w:r>
              <w:rPr>
                <w:b w:val="0"/>
                <w:sz w:val="17"/>
              </w:rPr>
              <w:t>Back-office</w:t>
            </w:r>
          </w:p>
        </w:tc>
      </w:tr>
      <w:tr>
        <w:tc>
          <w:tcPr>
            <w:tcW w:type="dxa" w:w="1361"/>
            <w:vAlign w:val="center"/>
            <w:shd w:val="clear" w:color="auto" w:fill="F2F2F2"/>
          </w:tcPr>
          <w:p>
            <w:pPr>
              <w:spacing w:after="0"/>
            </w:pPr>
            <w:r/>
            <w:r>
              <w:rPr>
                <w:b w:val="0"/>
                <w:sz w:val="17"/>
              </w:rPr>
              <w:t>POST</w:t>
            </w:r>
          </w:p>
        </w:tc>
        <w:tc>
          <w:tcPr>
            <w:tcW w:type="dxa" w:w="3175"/>
            <w:vAlign w:val="center"/>
            <w:shd w:val="clear" w:color="auto" w:fill="F2F2F2"/>
          </w:tcPr>
          <w:p>
            <w:pPr>
              <w:spacing w:after="0"/>
            </w:pPr>
            <w:r/>
            <w:r>
              <w:rPr>
                <w:b w:val="0"/>
                <w:sz w:val="17"/>
              </w:rPr>
              <w:t>/v1/ops/submissions/{id}/approve</w:t>
            </w:r>
          </w:p>
        </w:tc>
        <w:tc>
          <w:tcPr>
            <w:tcW w:type="dxa" w:w="2948"/>
            <w:vAlign w:val="center"/>
            <w:shd w:val="clear" w:color="auto" w:fill="F2F2F2"/>
          </w:tcPr>
          <w:p>
            <w:pPr>
              <w:spacing w:after="0"/>
            </w:pPr>
            <w:r/>
            <w:r>
              <w:rPr>
                <w:b w:val="0"/>
                <w:sz w:val="17"/>
              </w:rPr>
              <w:t>Approve and send to BoT (checker)</w:t>
            </w:r>
          </w:p>
        </w:tc>
        <w:tc>
          <w:tcPr>
            <w:tcW w:type="dxa" w:w="1928"/>
            <w:vAlign w:val="center"/>
            <w:shd w:val="clear" w:color="auto" w:fill="F2F2F2"/>
          </w:tcPr>
          <w:p>
            <w:pPr>
              <w:spacing w:after="0"/>
            </w:pPr>
            <w:r/>
            <w:r>
              <w:rPr>
                <w:b w:val="0"/>
                <w:sz w:val="17"/>
              </w:rPr>
              <w:t>Back-office</w:t>
            </w:r>
          </w:p>
        </w:tc>
      </w:tr>
      <w:tr>
        <w:tc>
          <w:tcPr>
            <w:tcW w:type="dxa" w:w="1361"/>
            <w:vAlign w:val="center"/>
          </w:tcPr>
          <w:p>
            <w:pPr>
              <w:spacing w:after="0"/>
            </w:pPr>
            <w:r/>
            <w:r>
              <w:rPr>
                <w:b w:val="0"/>
                <w:sz w:val="17"/>
              </w:rPr>
              <w:t>GET</w:t>
            </w:r>
          </w:p>
        </w:tc>
        <w:tc>
          <w:tcPr>
            <w:tcW w:type="dxa" w:w="3175"/>
            <w:vAlign w:val="center"/>
          </w:tcPr>
          <w:p>
            <w:pPr>
              <w:spacing w:after="0"/>
            </w:pPr>
            <w:r/>
            <w:r>
              <w:rPr>
                <w:b w:val="0"/>
                <w:sz w:val="17"/>
              </w:rPr>
              <w:t>/v1/oversight/statistics</w:t>
            </w:r>
          </w:p>
        </w:tc>
        <w:tc>
          <w:tcPr>
            <w:tcW w:type="dxa" w:w="2948"/>
            <w:vAlign w:val="center"/>
          </w:tcPr>
          <w:p>
            <w:pPr>
              <w:spacing w:after="0"/>
            </w:pPr>
            <w:r/>
            <w:r>
              <w:rPr>
                <w:b w:val="0"/>
                <w:sz w:val="17"/>
              </w:rPr>
              <w:t>Participation and settlement statistics</w:t>
            </w:r>
          </w:p>
        </w:tc>
        <w:tc>
          <w:tcPr>
            <w:tcW w:type="dxa" w:w="1928"/>
            <w:vAlign w:val="center"/>
          </w:tcPr>
          <w:p>
            <w:pPr>
              <w:spacing w:after="0"/>
            </w:pPr>
            <w:r/>
            <w:r>
              <w:rPr>
                <w:b w:val="0"/>
                <w:sz w:val="17"/>
              </w:rPr>
              <w:t>BoT portal</w:t>
            </w:r>
          </w:p>
        </w:tc>
      </w:tr>
      <w:tr>
        <w:tc>
          <w:tcPr>
            <w:tcW w:type="dxa" w:w="1361"/>
            <w:vAlign w:val="center"/>
            <w:shd w:val="clear" w:color="auto" w:fill="F2F2F2"/>
          </w:tcPr>
          <w:p>
            <w:pPr>
              <w:spacing w:after="0"/>
            </w:pPr>
            <w:r/>
            <w:r>
              <w:rPr>
                <w:b w:val="0"/>
                <w:sz w:val="17"/>
              </w:rPr>
              <w:t>POST</w:t>
            </w:r>
          </w:p>
        </w:tc>
        <w:tc>
          <w:tcPr>
            <w:tcW w:type="dxa" w:w="3175"/>
            <w:vAlign w:val="center"/>
            <w:shd w:val="clear" w:color="auto" w:fill="F2F2F2"/>
          </w:tcPr>
          <w:p>
            <w:pPr>
              <w:spacing w:after="0"/>
            </w:pPr>
            <w:r/>
            <w:r>
              <w:rPr>
                <w:b w:val="0"/>
                <w:sz w:val="17"/>
              </w:rPr>
              <w:t>/internal/v1/auction-results</w:t>
            </w:r>
          </w:p>
        </w:tc>
        <w:tc>
          <w:tcPr>
            <w:tcW w:type="dxa" w:w="2948"/>
            <w:vAlign w:val="center"/>
            <w:shd w:val="clear" w:color="auto" w:fill="F2F2F2"/>
          </w:tcPr>
          <w:p>
            <w:pPr>
              <w:spacing w:after="0"/>
            </w:pPr>
            <w:r/>
            <w:r>
              <w:rPr>
                <w:b w:val="0"/>
                <w:sz w:val="17"/>
              </w:rPr>
              <w:t>Ingest BoT results (from adapter)</w:t>
            </w:r>
          </w:p>
        </w:tc>
        <w:tc>
          <w:tcPr>
            <w:tcW w:type="dxa" w:w="1928"/>
            <w:vAlign w:val="center"/>
            <w:shd w:val="clear" w:color="auto" w:fill="F2F2F2"/>
          </w:tcPr>
          <w:p>
            <w:pPr>
              <w:spacing w:after="0"/>
            </w:pPr>
            <w:r/>
            <w:r>
              <w:rPr>
                <w:b w:val="0"/>
                <w:sz w:val="17"/>
              </w:rPr>
              <w:t>BoT Auction adapter</w:t>
            </w:r>
          </w:p>
        </w:tc>
      </w:tr>
    </w:tbl>
    <w:p>
      <w:pPr>
        <w:spacing w:after="40"/>
      </w:pPr>
    </w:p>
    <w:p>
      <w:pPr>
        <w:pStyle w:val="Heading2"/>
      </w:pPr>
      <w:r>
        <w:t>8.3 Example: Bid Submission (channel → platform)</w:t>
      </w:r>
    </w:p>
    <w:tbl>
      <w:tblPr>
        <w:jc w:val="center"/>
        <w:tblLook w:firstColumn="1" w:firstRow="1" w:lastColumn="0" w:lastRow="0" w:noHBand="0" w:noVBand="1" w:val="04A0"/>
        <w:tblCellMar>
          <w:top w:w="100" w:type="dxa"/>
          <w:left w:w="160" w:type="dxa"/>
          <w:bottom w:w="100" w:type="dxa"/>
          <w:right w:w="160" w:type="dxa"/>
        </w:tblCellMar>
        <w:tblW w:w="9412" w:type="dxa"/>
        <w:tblLayout w:type="fixed"/>
      </w:tblPr>
      <w:tblGrid>
        <w:gridCol w:w="9412"/>
      </w:tblGrid>
      <w:tr>
        <w:tc>
          <w:tcPr>
            <w:tcW w:type="dxa" w:w="9411"/>
            <w:shd w:val="clear" w:color="auto" w:fill="F4F6F9"/>
          </w:tcPr>
          <w:p>
            <w:pPr>
              <w:spacing w:after="0" w:line="240" w:lineRule="auto"/>
            </w:pPr>
            <w:r/>
            <w:r>
              <w:rPr>
                <w:rFonts w:ascii="Consolas" w:hAnsi="Consolas"/>
                <w:sz w:val="17"/>
              </w:rPr>
              <w:t>POST /v1/bids</w:t>
            </w:r>
          </w:p>
          <w:p>
            <w:pPr>
              <w:spacing w:after="0" w:line="240" w:lineRule="auto"/>
            </w:pPr>
            <w:r>
              <w:rPr>
                <w:rFonts w:ascii="Consolas" w:hAnsi="Consolas"/>
                <w:sz w:val="17"/>
              </w:rPr>
              <w:t>Authorization: Bearer &lt;access-token&gt;</w:t>
            </w:r>
          </w:p>
          <w:p>
            <w:pPr>
              <w:spacing w:after="0" w:line="240" w:lineRule="auto"/>
            </w:pPr>
            <w:r>
              <w:rPr>
                <w:rFonts w:ascii="Consolas" w:hAnsi="Consolas"/>
                <w:sz w:val="17"/>
              </w:rPr>
              <w:t>Idempotency-Key: 6f1c2a9e-3b7d-4c55-9a01-2f7e8d0c4b11</w:t>
            </w:r>
          </w:p>
          <w:p>
            <w:pPr>
              <w:spacing w:after="0" w:line="240" w:lineRule="auto"/>
            </w:pPr>
            <w:r>
              <w:rPr>
                <w:rFonts w:ascii="Consolas" w:hAnsi="Consolas"/>
                <w:sz w:val="17"/>
              </w:rPr>
              <w:t>X-Correlation-ID: 9b2e7c1d-...</w:t>
            </w:r>
          </w:p>
          <w:p>
            <w:pPr>
              <w:spacing w:after="0" w:line="240" w:lineRule="auto"/>
            </w:pPr>
            <w:r>
              <w:rPr>
                <w:rFonts w:ascii="Consolas" w:hAnsi="Consolas"/>
                <w:sz w:val="17"/>
              </w:rPr>
            </w:r>
          </w:p>
          <w:p>
            <w:pPr>
              <w:spacing w:after="0" w:line="240" w:lineRule="auto"/>
            </w:pPr>
            <w:r>
              <w:rPr>
                <w:rFonts w:ascii="Consolas" w:hAnsi="Consolas"/>
                <w:sz w:val="17"/>
              </w:rPr>
              <w:t>{</w:t>
            </w:r>
          </w:p>
          <w:p>
            <w:pPr>
              <w:spacing w:after="0" w:line="240" w:lineRule="auto"/>
            </w:pPr>
            <w:r>
              <w:rPr>
                <w:rFonts w:ascii="Consolas" w:hAnsi="Consolas"/>
                <w:sz w:val="17"/>
              </w:rPr>
              <w:t xml:space="preserve">  "auctionNo": "TB-2026-0912",</w:t>
            </w:r>
          </w:p>
          <w:p>
            <w:pPr>
              <w:spacing w:after="0" w:line="240" w:lineRule="auto"/>
            </w:pPr>
            <w:r>
              <w:rPr>
                <w:rFonts w:ascii="Consolas" w:hAnsi="Consolas"/>
                <w:sz w:val="17"/>
              </w:rPr>
              <w:t xml:space="preserve">  "isin": "TZ1996100000",</w:t>
            </w:r>
          </w:p>
          <w:p>
            <w:pPr>
              <w:spacing w:after="0" w:line="240" w:lineRule="auto"/>
            </w:pPr>
            <w:r>
              <w:rPr>
                <w:rFonts w:ascii="Consolas" w:hAnsi="Consolas"/>
                <w:sz w:val="17"/>
              </w:rPr>
              <w:t xml:space="preserve">  "bidType": "COMPETITIVE",</w:t>
            </w:r>
          </w:p>
          <w:p>
            <w:pPr>
              <w:spacing w:after="0" w:line="240" w:lineRule="auto"/>
            </w:pPr>
            <w:r>
              <w:rPr>
                <w:rFonts w:ascii="Consolas" w:hAnsi="Consolas"/>
                <w:sz w:val="17"/>
              </w:rPr>
              <w:t xml:space="preserve">  "faceValue": { "amount": "5000000.00", "currency": "TZS" },</w:t>
            </w:r>
          </w:p>
          <w:p>
            <w:pPr>
              <w:spacing w:after="0" w:line="240" w:lineRule="auto"/>
            </w:pPr>
            <w:r>
              <w:rPr>
                <w:rFonts w:ascii="Consolas" w:hAnsi="Consolas"/>
                <w:sz w:val="17"/>
              </w:rPr>
              <w:t xml:space="preserve">  "price": "99.50",</w:t>
            </w:r>
          </w:p>
          <w:p>
            <w:pPr>
              <w:spacing w:after="0" w:line="240" w:lineRule="auto"/>
            </w:pPr>
            <w:r>
              <w:rPr>
                <w:rFonts w:ascii="Consolas" w:hAnsi="Consolas"/>
                <w:sz w:val="17"/>
              </w:rPr>
              <w:t xml:space="preserve">  "settlementAccount": "0150XXXXXXXX",</w:t>
            </w:r>
          </w:p>
          <w:p>
            <w:pPr>
              <w:spacing w:after="0" w:line="240" w:lineRule="auto"/>
            </w:pPr>
            <w:r>
              <w:rPr>
                <w:rFonts w:ascii="Consolas" w:hAnsi="Consolas"/>
                <w:sz w:val="17"/>
              </w:rPr>
              <w:t xml:space="preserve">  "channel": "MOBILE"</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201 Created</w:t>
            </w:r>
          </w:p>
          <w:p>
            <w:pPr>
              <w:spacing w:after="0" w:line="240" w:lineRule="auto"/>
            </w:pPr>
            <w:r>
              <w:rPr>
                <w:rFonts w:ascii="Consolas" w:hAnsi="Consolas"/>
                <w:sz w:val="17"/>
              </w:rPr>
              <w:t>{ "bidRef": "B-7Q4K2M", "state": "ACCEPTED", "holdRef": "LN-88213",</w:t>
            </w:r>
          </w:p>
          <w:p>
            <w:pPr>
              <w:spacing w:after="0" w:line="240" w:lineRule="auto"/>
            </w:pPr>
            <w:r>
              <w:rPr>
                <w:rFonts w:ascii="Consolas" w:hAnsi="Consolas"/>
                <w:sz w:val="17"/>
              </w:rPr>
              <w:t xml:space="preserve">  "heldAmount": { "amount": "5012500.00", "currency": "TZS" },</w:t>
            </w:r>
          </w:p>
          <w:p>
            <w:pPr>
              <w:spacing w:after="0" w:line="240" w:lineRule="auto"/>
            </w:pPr>
            <w:r>
              <w:rPr>
                <w:rFonts w:ascii="Consolas" w:hAnsi="Consolas"/>
                <w:sz w:val="17"/>
              </w:rPr>
              <w:t xml:space="preserve">  "cutOff": "2026-09-30T11:00:00+03:00" }</w:t>
            </w:r>
          </w:p>
        </w:tc>
      </w:tr>
    </w:tbl>
    <w:p>
      <w:pPr>
        <w:spacing w:after="40"/>
      </w:pPr>
    </w:p>
    <w:p>
      <w:r>
        <w:rPr>
          <w:i/>
        </w:rPr>
        <w:t>Identifiers and values above are illustrative only.</w:t>
      </w:r>
    </w:p>
    <w:p>
      <w:pPr>
        <w:pStyle w:val="Heading2"/>
      </w:pPr>
      <w:r>
        <w:t>8.4 Example: Batch Submission (platform → BoT)</w:t>
      </w:r>
    </w:p>
    <w:tbl>
      <w:tblPr>
        <w:jc w:val="center"/>
        <w:tblLook w:firstColumn="1" w:firstRow="1" w:lastColumn="0" w:lastRow="0" w:noHBand="0" w:noVBand="1" w:val="04A0"/>
        <w:tblCellMar>
          <w:top w:w="100" w:type="dxa"/>
          <w:left w:w="160" w:type="dxa"/>
          <w:bottom w:w="100" w:type="dxa"/>
          <w:right w:w="160" w:type="dxa"/>
        </w:tblCellMar>
        <w:tblW w:w="9412" w:type="dxa"/>
        <w:tblLayout w:type="fixed"/>
      </w:tblPr>
      <w:tblGrid>
        <w:gridCol w:w="9412"/>
      </w:tblGrid>
      <w:tr>
        <w:tc>
          <w:tcPr>
            <w:tcW w:type="dxa" w:w="9411"/>
            <w:shd w:val="clear" w:color="auto" w:fill="F4F6F9"/>
          </w:tcPr>
          <w:p>
            <w:pPr>
              <w:spacing w:after="0" w:line="240" w:lineRule="auto"/>
            </w:pPr>
            <w:r/>
            <w:r>
              <w:rPr>
                <w:rFonts w:ascii="Consolas" w:hAnsi="Consolas"/>
                <w:sz w:val="17"/>
              </w:rPr>
              <w:t>POST https://proxy.bot.go.tz/bids/XXXXXXXX-260930-001</w:t>
            </w:r>
          </w:p>
          <w:p>
            <w:pPr>
              <w:spacing w:after="0" w:line="240" w:lineRule="auto"/>
            </w:pPr>
            <w:r>
              <w:rPr>
                <w:rFonts w:ascii="Consolas" w:hAnsi="Consolas"/>
                <w:sz w:val="17"/>
              </w:rPr>
              <w:t>Authorization: Bearer &lt;BoT access token&gt;</w:t>
            </w:r>
          </w:p>
          <w:p>
            <w:pPr>
              <w:spacing w:after="0" w:line="240" w:lineRule="auto"/>
            </w:pPr>
            <w:r>
              <w:rPr>
                <w:rFonts w:ascii="Consolas" w:hAnsi="Consolas"/>
                <w:sz w:val="17"/>
              </w:rPr>
              <w:t>interface: &lt;BoT-assigned interface code&gt;</w:t>
            </w:r>
          </w:p>
          <w:p>
            <w:pPr>
              <w:spacing w:after="0" w:line="240" w:lineRule="auto"/>
            </w:pPr>
            <w:r>
              <w:rPr>
                <w:rFonts w:ascii="Consolas" w:hAnsi="Consolas"/>
                <w:sz w:val="17"/>
              </w:rPr>
              <w:t>sender: &lt;BoT-assigned sender code&gt;</w:t>
            </w:r>
          </w:p>
          <w:p>
            <w:pPr>
              <w:spacing w:after="0" w:line="240" w:lineRule="auto"/>
            </w:pPr>
            <w:r>
              <w:rPr>
                <w:rFonts w:ascii="Consolas" w:hAnsi="Consolas"/>
                <w:sz w:val="17"/>
              </w:rPr>
              <w:t>x-api-key: &lt;from Vault&gt;</w:t>
            </w:r>
          </w:p>
          <w:p>
            <w:pPr>
              <w:spacing w:after="0" w:line="240" w:lineRule="auto"/>
            </w:pPr>
            <w:r>
              <w:rPr>
                <w:rFonts w:ascii="Consolas" w:hAnsi="Consolas"/>
                <w:sz w:val="17"/>
              </w:rPr>
              <w:t>x-timestamp: 2026-09-30T08:15:00Z</w:t>
            </w:r>
          </w:p>
          <w:p>
            <w:pPr>
              <w:spacing w:after="0" w:line="240" w:lineRule="auto"/>
            </w:pPr>
            <w:r>
              <w:rPr>
                <w:rFonts w:ascii="Consolas" w:hAnsi="Consolas"/>
                <w:sz w:val="17"/>
              </w:rPr>
              <w:t>x-signature: &lt;Base64 RSA-SHA256 of canonical string, signed in HSM&gt;</w:t>
            </w:r>
          </w:p>
          <w:p>
            <w:pPr>
              <w:spacing w:after="0" w:line="240" w:lineRule="auto"/>
            </w:pPr>
            <w:r>
              <w:rPr>
                <w:rFonts w:ascii="Consolas" w:hAnsi="Consolas"/>
                <w:sz w:val="17"/>
              </w:rPr>
              <w:t>content-type: application/json</w:t>
            </w:r>
          </w:p>
          <w:p>
            <w:pPr>
              <w:spacing w:after="0" w:line="240" w:lineRule="auto"/>
            </w:pPr>
            <w:r>
              <w:rPr>
                <w:rFonts w:ascii="Consolas" w:hAnsi="Consolas"/>
                <w:sz w:val="17"/>
              </w:rPr>
            </w:r>
          </w:p>
          <w:p>
            <w:pPr>
              <w:spacing w:after="0" w:line="240" w:lineRule="auto"/>
            </w:pPr>
            <w:r>
              <w:rPr>
                <w:rFonts w:ascii="Consolas" w:hAnsi="Consolas"/>
                <w:sz w:val="17"/>
              </w:rPr>
              <w:t>[</w:t>
            </w:r>
          </w:p>
          <w:p>
            <w:pPr>
              <w:spacing w:after="0" w:line="240" w:lineRule="auto"/>
            </w:pPr>
            <w:r>
              <w:rPr>
                <w:rFonts w:ascii="Consolas" w:hAnsi="Consolas"/>
                <w:sz w:val="17"/>
              </w:rPr>
              <w:t xml:space="preserve">  { "ISIN": "TZ1996106013",</w:t>
            </w:r>
          </w:p>
          <w:p>
            <w:pPr>
              <w:spacing w:after="0" w:line="240" w:lineRule="auto"/>
            </w:pPr>
            <w:r>
              <w:rPr>
                <w:rFonts w:ascii="Consolas" w:hAnsi="Consolas"/>
                <w:sz w:val="17"/>
              </w:rPr>
              <w:t xml:space="preserve">    "bids": [</w:t>
            </w:r>
          </w:p>
          <w:p>
            <w:pPr>
              <w:spacing w:after="0" w:line="240" w:lineRule="auto"/>
            </w:pPr>
            <w:r>
              <w:rPr>
                <w:rFonts w:ascii="Consolas" w:hAnsi="Consolas"/>
                <w:sz w:val="17"/>
              </w:rPr>
              <w:t xml:space="preserve">      { "securityAccount": "&lt;investor CDS account&gt;", "amount": 5000000,</w:t>
            </w:r>
          </w:p>
          <w:p>
            <w:pPr>
              <w:spacing w:after="0" w:line="240" w:lineRule="auto"/>
            </w:pPr>
            <w:r>
              <w:rPr>
                <w:rFonts w:ascii="Consolas" w:hAnsi="Consolas"/>
                <w:sz w:val="17"/>
              </w:rPr>
              <w:t xml:space="preserve">        "competitive": "Y", "price": "99.50" },</w:t>
            </w:r>
          </w:p>
          <w:p>
            <w:pPr>
              <w:spacing w:after="0" w:line="240" w:lineRule="auto"/>
            </w:pPr>
            <w:r>
              <w:rPr>
                <w:rFonts w:ascii="Consolas" w:hAnsi="Consolas"/>
                <w:sz w:val="17"/>
              </w:rPr>
              <w:t xml:space="preserve">      { "securityAccount": "&lt;investor CDS account&gt;", "amount": 2000000,</w:t>
            </w:r>
          </w:p>
          <w:p>
            <w:pPr>
              <w:spacing w:after="0" w:line="240" w:lineRule="auto"/>
            </w:pPr>
            <w:r>
              <w:rPr>
                <w:rFonts w:ascii="Consolas" w:hAnsi="Consolas"/>
                <w:sz w:val="17"/>
              </w:rPr>
              <w:t xml:space="preserve">        "competitive": "N", "price": "&lt;see OI-03&gt;" } ] } ]</w:t>
            </w:r>
          </w:p>
        </w:tc>
      </w:tr>
    </w:tbl>
    <w:p>
      <w:pPr>
        <w:spacing w:after="40"/>
      </w:pPr>
    </w:p>
    <w:p>
      <w:pPr>
        <w:pStyle w:val="Heading1"/>
      </w:pPr>
      <w:r>
        <w:t>9. Data Architecture</w:t>
      </w:r>
    </w:p>
    <w:p>
      <w:pPr>
        <w:pStyle w:val="Heading2"/>
      </w:pPr>
      <w:r>
        <w:t>9.1 Core Information Model</w:t>
      </w:r>
    </w:p>
    <w:p>
      <w:r>
        <w:rPr>
          <w:i w:val="0"/>
        </w:rPr>
        <w:t>Figure 7 shows the core entities and their relationships. Each service owns its entities; other services refer to them only by identifier.</w:t>
      </w:r>
    </w:p>
    <w:p>
      <w:pPr>
        <w:keepNext/>
        <w:jc w:val="center"/>
      </w:pPr>
      <w:r>
        <w:drawing>
          <wp:inline xmlns:a="http://schemas.openxmlformats.org/drawingml/2006/main" xmlns:pic="http://schemas.openxmlformats.org/drawingml/2006/picture">
            <wp:extent cx="5976000" cy="4140040"/>
            <wp:docPr id="7" name="Picture 7"/>
            <wp:cNvGraphicFramePr>
              <a:graphicFrameLocks noChangeAspect="1"/>
            </wp:cNvGraphicFramePr>
            <a:graphic>
              <a:graphicData uri="http://schemas.openxmlformats.org/drawingml/2006/picture">
                <pic:pic>
                  <pic:nvPicPr>
                    <pic:cNvPr id="0" name="07_data.png"/>
                    <pic:cNvPicPr/>
                  </pic:nvPicPr>
                  <pic:blipFill>
                    <a:blip r:embed="rId17"/>
                    <a:stretch>
                      <a:fillRect/>
                    </a:stretch>
                  </pic:blipFill>
                  <pic:spPr>
                    <a:xfrm>
                      <a:off x="0" y="0"/>
                      <a:ext cx="5976000" cy="4140040"/>
                    </a:xfrm>
                    <a:prstGeom prst="rect"/>
                  </pic:spPr>
                </pic:pic>
              </a:graphicData>
            </a:graphic>
          </wp:inline>
        </w:drawing>
      </w:r>
    </w:p>
    <w:p>
      <w:pPr>
        <w:jc w:val="center"/>
      </w:pPr>
      <w:r>
        <w:rPr>
          <w:i/>
          <w:color w:val="595959"/>
          <w:sz w:val="18"/>
        </w:rPr>
        <w:t>Figure 7 – Core information model</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1701"/>
        <w:gridCol w:w="4876"/>
        <w:gridCol w:w="2835"/>
      </w:tblGrid>
      <w:tr>
        <w:trPr>
          <w:tblHeader w:val="true"/>
        </w:trPr>
        <w:tc>
          <w:tcPr>
            <w:tcW w:type="dxa" w:w="1701"/>
            <w:vAlign w:val="center"/>
            <w:shd w:val="clear" w:color="auto" w:fill="1F3864"/>
          </w:tcPr>
          <w:p>
            <w:pPr>
              <w:spacing w:after="0"/>
            </w:pPr>
            <w:r/>
            <w:r>
              <w:rPr>
                <w:b/>
                <w:color w:val="FFFFFF"/>
                <w:sz w:val="19"/>
              </w:rPr>
              <w:t>Entity</w:t>
            </w:r>
          </w:p>
        </w:tc>
        <w:tc>
          <w:tcPr>
            <w:tcW w:type="dxa" w:w="4876"/>
            <w:vAlign w:val="center"/>
            <w:shd w:val="clear" w:color="auto" w:fill="1F3864"/>
          </w:tcPr>
          <w:p>
            <w:pPr>
              <w:spacing w:after="0"/>
            </w:pPr>
            <w:r/>
            <w:r>
              <w:rPr>
                <w:b/>
                <w:color w:val="FFFFFF"/>
                <w:sz w:val="19"/>
              </w:rPr>
              <w:t>Key attributes</w:t>
            </w:r>
          </w:p>
        </w:tc>
        <w:tc>
          <w:tcPr>
            <w:tcW w:type="dxa" w:w="2835"/>
            <w:vAlign w:val="center"/>
            <w:shd w:val="clear" w:color="auto" w:fill="1F3864"/>
          </w:tcPr>
          <w:p>
            <w:pPr>
              <w:spacing w:after="0"/>
            </w:pPr>
            <w:r/>
            <w:r>
              <w:rPr>
                <w:b/>
                <w:color w:val="FFFFFF"/>
                <w:sz w:val="19"/>
              </w:rPr>
              <w:t>Source of truth</w:t>
            </w:r>
          </w:p>
        </w:tc>
      </w:tr>
      <w:tr>
        <w:tc>
          <w:tcPr>
            <w:tcW w:type="dxa" w:w="1701"/>
            <w:vAlign w:val="center"/>
          </w:tcPr>
          <w:p>
            <w:pPr>
              <w:spacing w:after="0"/>
            </w:pPr>
            <w:r/>
            <w:r>
              <w:rPr>
                <w:b w:val="0"/>
                <w:sz w:val="19"/>
              </w:rPr>
              <w:t>Participant</w:t>
            </w:r>
          </w:p>
        </w:tc>
        <w:tc>
          <w:tcPr>
            <w:tcW w:type="dxa" w:w="4876"/>
            <w:vAlign w:val="center"/>
          </w:tcPr>
          <w:p>
            <w:pPr>
              <w:spacing w:after="0"/>
            </w:pPr>
            <w:r/>
            <w:r>
              <w:rPr>
                <w:b w:val="0"/>
                <w:sz w:val="19"/>
              </w:rPr>
              <w:t>Bank code, name, BIC, settlement account</w:t>
            </w:r>
          </w:p>
        </w:tc>
        <w:tc>
          <w:tcPr>
            <w:tcW w:type="dxa" w:w="2835"/>
            <w:vAlign w:val="center"/>
          </w:tcPr>
          <w:p>
            <w:pPr>
              <w:spacing w:after="0"/>
            </w:pPr>
            <w:r/>
            <w:r>
              <w:rPr>
                <w:b w:val="0"/>
                <w:sz w:val="19"/>
              </w:rPr>
              <w:t>Platform (config)</w:t>
            </w:r>
          </w:p>
        </w:tc>
      </w:tr>
      <w:tr>
        <w:tc>
          <w:tcPr>
            <w:tcW w:type="dxa" w:w="1701"/>
            <w:vAlign w:val="center"/>
            <w:shd w:val="clear" w:color="auto" w:fill="F2F2F2"/>
          </w:tcPr>
          <w:p>
            <w:pPr>
              <w:spacing w:after="0"/>
            </w:pPr>
            <w:r/>
            <w:r>
              <w:rPr>
                <w:b w:val="0"/>
                <w:sz w:val="19"/>
              </w:rPr>
              <w:t>Investor</w:t>
            </w:r>
          </w:p>
        </w:tc>
        <w:tc>
          <w:tcPr>
            <w:tcW w:type="dxa" w:w="4876"/>
            <w:vAlign w:val="center"/>
            <w:shd w:val="clear" w:color="auto" w:fill="F2F2F2"/>
          </w:tcPr>
          <w:p>
            <w:pPr>
              <w:spacing w:after="0"/>
            </w:pPr>
            <w:r/>
            <w:r>
              <w:rPr>
                <w:b w:val="0"/>
                <w:sz w:val="19"/>
              </w:rPr>
              <w:t>Investor ID, type, NIDA/TIN, name, contacts, risk rating, KYC status, consent flags</w:t>
            </w:r>
          </w:p>
        </w:tc>
        <w:tc>
          <w:tcPr>
            <w:tcW w:type="dxa" w:w="2835"/>
            <w:vAlign w:val="center"/>
            <w:shd w:val="clear" w:color="auto" w:fill="F2F2F2"/>
          </w:tcPr>
          <w:p>
            <w:pPr>
              <w:spacing w:after="0"/>
            </w:pPr>
            <w:r/>
            <w:r>
              <w:rPr>
                <w:b w:val="0"/>
                <w:sz w:val="19"/>
              </w:rPr>
              <w:t>Platform (KYC), CBS (CIF)</w:t>
            </w:r>
          </w:p>
        </w:tc>
      </w:tr>
      <w:tr>
        <w:tc>
          <w:tcPr>
            <w:tcW w:type="dxa" w:w="1701"/>
            <w:vAlign w:val="center"/>
          </w:tcPr>
          <w:p>
            <w:pPr>
              <w:spacing w:after="0"/>
            </w:pPr>
            <w:r/>
            <w:r>
              <w:rPr>
                <w:b w:val="0"/>
                <w:sz w:val="19"/>
              </w:rPr>
              <w:t>CDS Account</w:t>
            </w:r>
          </w:p>
        </w:tc>
        <w:tc>
          <w:tcPr>
            <w:tcW w:type="dxa" w:w="4876"/>
            <w:vAlign w:val="center"/>
          </w:tcPr>
          <w:p>
            <w:pPr>
              <w:spacing w:after="0"/>
            </w:pPr>
            <w:r/>
            <w:r>
              <w:rPr>
                <w:b w:val="0"/>
                <w:sz w:val="19"/>
              </w:rPr>
              <w:t>CDS number, investor ID, status, linked settlement account</w:t>
            </w:r>
          </w:p>
        </w:tc>
        <w:tc>
          <w:tcPr>
            <w:tcW w:type="dxa" w:w="2835"/>
            <w:vAlign w:val="center"/>
          </w:tcPr>
          <w:p>
            <w:pPr>
              <w:spacing w:after="0"/>
            </w:pPr>
            <w:r/>
            <w:r>
              <w:rPr>
                <w:b w:val="0"/>
                <w:sz w:val="19"/>
              </w:rPr>
              <w:t>BoT CDS</w:t>
            </w:r>
          </w:p>
        </w:tc>
      </w:tr>
      <w:tr>
        <w:tc>
          <w:tcPr>
            <w:tcW w:type="dxa" w:w="1701"/>
            <w:vAlign w:val="center"/>
            <w:shd w:val="clear" w:color="auto" w:fill="F2F2F2"/>
          </w:tcPr>
          <w:p>
            <w:pPr>
              <w:spacing w:after="0"/>
            </w:pPr>
            <w:r/>
            <w:r>
              <w:rPr>
                <w:b w:val="0"/>
                <w:sz w:val="19"/>
              </w:rPr>
              <w:t>Security</w:t>
            </w:r>
          </w:p>
        </w:tc>
        <w:tc>
          <w:tcPr>
            <w:tcW w:type="dxa" w:w="4876"/>
            <w:vAlign w:val="center"/>
            <w:shd w:val="clear" w:color="auto" w:fill="F2F2F2"/>
          </w:tcPr>
          <w:p>
            <w:pPr>
              <w:spacing w:after="0"/>
            </w:pPr>
            <w:r/>
            <w:r>
              <w:rPr>
                <w:b w:val="0"/>
                <w:sz w:val="19"/>
              </w:rPr>
              <w:t>ISIN, type (T-Bill/T-Bond), tenor, coupon, issue/maturity dates</w:t>
            </w:r>
          </w:p>
        </w:tc>
        <w:tc>
          <w:tcPr>
            <w:tcW w:type="dxa" w:w="2835"/>
            <w:vAlign w:val="center"/>
            <w:shd w:val="clear" w:color="auto" w:fill="F2F2F2"/>
          </w:tcPr>
          <w:p>
            <w:pPr>
              <w:spacing w:after="0"/>
            </w:pPr>
            <w:r/>
            <w:r>
              <w:rPr>
                <w:b w:val="0"/>
                <w:sz w:val="19"/>
              </w:rPr>
              <w:t>BoT</w:t>
            </w:r>
          </w:p>
        </w:tc>
      </w:tr>
      <w:tr>
        <w:tc>
          <w:tcPr>
            <w:tcW w:type="dxa" w:w="1701"/>
            <w:vAlign w:val="center"/>
          </w:tcPr>
          <w:p>
            <w:pPr>
              <w:spacing w:after="0"/>
            </w:pPr>
            <w:r/>
            <w:r>
              <w:rPr>
                <w:b w:val="0"/>
                <w:sz w:val="19"/>
              </w:rPr>
              <w:t>Auction</w:t>
            </w:r>
          </w:p>
        </w:tc>
        <w:tc>
          <w:tcPr>
            <w:tcW w:type="dxa" w:w="4876"/>
            <w:vAlign w:val="center"/>
          </w:tcPr>
          <w:p>
            <w:pPr>
              <w:spacing w:after="0"/>
            </w:pPr>
            <w:r/>
            <w:r>
              <w:rPr>
                <w:b w:val="0"/>
                <w:sz w:val="19"/>
              </w:rPr>
              <w:t>Auction no., security, offer amount, dates, cut-off time, status</w:t>
            </w:r>
          </w:p>
        </w:tc>
        <w:tc>
          <w:tcPr>
            <w:tcW w:type="dxa" w:w="2835"/>
            <w:vAlign w:val="center"/>
          </w:tcPr>
          <w:p>
            <w:pPr>
              <w:spacing w:after="0"/>
            </w:pPr>
            <w:r/>
            <w:r>
              <w:rPr>
                <w:b w:val="0"/>
                <w:sz w:val="19"/>
              </w:rPr>
              <w:t>BoT</w:t>
            </w:r>
          </w:p>
        </w:tc>
      </w:tr>
      <w:tr>
        <w:tc>
          <w:tcPr>
            <w:tcW w:type="dxa" w:w="1701"/>
            <w:vAlign w:val="center"/>
            <w:shd w:val="clear" w:color="auto" w:fill="F2F2F2"/>
          </w:tcPr>
          <w:p>
            <w:pPr>
              <w:spacing w:after="0"/>
            </w:pPr>
            <w:r/>
            <w:r>
              <w:rPr>
                <w:b w:val="0"/>
                <w:sz w:val="19"/>
              </w:rPr>
              <w:t>Bid</w:t>
            </w:r>
          </w:p>
        </w:tc>
        <w:tc>
          <w:tcPr>
            <w:tcW w:type="dxa" w:w="4876"/>
            <w:vAlign w:val="center"/>
            <w:shd w:val="clear" w:color="auto" w:fill="F2F2F2"/>
          </w:tcPr>
          <w:p>
            <w:pPr>
              <w:spacing w:after="0"/>
            </w:pPr>
            <w:r/>
            <w:r>
              <w:rPr>
                <w:b w:val="0"/>
                <w:sz w:val="19"/>
              </w:rPr>
              <w:t>Bid ref, investor, auction, type, amount, price, channel, state, hold reference, BoT requestId, batchReference</w:t>
            </w:r>
          </w:p>
        </w:tc>
        <w:tc>
          <w:tcPr>
            <w:tcW w:type="dxa" w:w="2835"/>
            <w:vAlign w:val="center"/>
            <w:shd w:val="clear" w:color="auto" w:fill="F2F2F2"/>
          </w:tcPr>
          <w:p>
            <w:pPr>
              <w:spacing w:after="0"/>
            </w:pPr>
            <w:r/>
            <w:r>
              <w:rPr>
                <w:b w:val="0"/>
                <w:sz w:val="19"/>
              </w:rPr>
              <w:t>Platform</w:t>
            </w:r>
          </w:p>
        </w:tc>
      </w:tr>
      <w:tr>
        <w:tc>
          <w:tcPr>
            <w:tcW w:type="dxa" w:w="1701"/>
            <w:vAlign w:val="center"/>
          </w:tcPr>
          <w:p>
            <w:pPr>
              <w:spacing w:after="0"/>
            </w:pPr>
            <w:r/>
            <w:r>
              <w:rPr>
                <w:b w:val="0"/>
                <w:sz w:val="19"/>
              </w:rPr>
              <w:t>Allocation</w:t>
            </w:r>
          </w:p>
        </w:tc>
        <w:tc>
          <w:tcPr>
            <w:tcW w:type="dxa" w:w="4876"/>
            <w:vAlign w:val="center"/>
          </w:tcPr>
          <w:p>
            <w:pPr>
              <w:spacing w:after="0"/>
            </w:pPr>
            <w:r/>
            <w:r>
              <w:rPr>
                <w:b w:val="0"/>
                <w:sz w:val="19"/>
              </w:rPr>
              <w:t>Bid ref, allotted amount, allotted price, settlement amount</w:t>
            </w:r>
          </w:p>
        </w:tc>
        <w:tc>
          <w:tcPr>
            <w:tcW w:type="dxa" w:w="2835"/>
            <w:vAlign w:val="center"/>
          </w:tcPr>
          <w:p>
            <w:pPr>
              <w:spacing w:after="0"/>
            </w:pPr>
            <w:r/>
            <w:r>
              <w:rPr>
                <w:b w:val="0"/>
                <w:sz w:val="19"/>
              </w:rPr>
              <w:t>BoT (results) / Platform (computed)</w:t>
            </w:r>
          </w:p>
        </w:tc>
      </w:tr>
      <w:tr>
        <w:tc>
          <w:tcPr>
            <w:tcW w:type="dxa" w:w="1701"/>
            <w:vAlign w:val="center"/>
            <w:shd w:val="clear" w:color="auto" w:fill="F2F2F2"/>
          </w:tcPr>
          <w:p>
            <w:pPr>
              <w:spacing w:after="0"/>
            </w:pPr>
            <w:r/>
            <w:r>
              <w:rPr>
                <w:b w:val="0"/>
                <w:sz w:val="19"/>
              </w:rPr>
              <w:t>Settlement</w:t>
            </w:r>
          </w:p>
        </w:tc>
        <w:tc>
          <w:tcPr>
            <w:tcW w:type="dxa" w:w="4876"/>
            <w:vAlign w:val="center"/>
            <w:shd w:val="clear" w:color="auto" w:fill="F2F2F2"/>
          </w:tcPr>
          <w:p>
            <w:pPr>
              <w:spacing w:after="0"/>
            </w:pPr>
            <w:r/>
            <w:r>
              <w:rPr>
                <w:b w:val="0"/>
                <w:sz w:val="19"/>
              </w:rPr>
              <w:t>Settlement ID, value date, amounts, CBS/TISS references, status</w:t>
            </w:r>
          </w:p>
        </w:tc>
        <w:tc>
          <w:tcPr>
            <w:tcW w:type="dxa" w:w="2835"/>
            <w:vAlign w:val="center"/>
            <w:shd w:val="clear" w:color="auto" w:fill="F2F2F2"/>
          </w:tcPr>
          <w:p>
            <w:pPr>
              <w:spacing w:after="0"/>
            </w:pPr>
            <w:r/>
            <w:r>
              <w:rPr>
                <w:b w:val="0"/>
                <w:sz w:val="19"/>
              </w:rPr>
              <w:t>Platform + CBS</w:t>
            </w:r>
          </w:p>
        </w:tc>
      </w:tr>
      <w:tr>
        <w:tc>
          <w:tcPr>
            <w:tcW w:type="dxa" w:w="1701"/>
            <w:vAlign w:val="center"/>
          </w:tcPr>
          <w:p>
            <w:pPr>
              <w:spacing w:after="0"/>
            </w:pPr>
            <w:r/>
            <w:r>
              <w:rPr>
                <w:b w:val="0"/>
                <w:sz w:val="19"/>
              </w:rPr>
              <w:t>Holding</w:t>
            </w:r>
          </w:p>
        </w:tc>
        <w:tc>
          <w:tcPr>
            <w:tcW w:type="dxa" w:w="4876"/>
            <w:vAlign w:val="center"/>
          </w:tcPr>
          <w:p>
            <w:pPr>
              <w:spacing w:after="0"/>
            </w:pPr>
            <w:r/>
            <w:r>
              <w:rPr>
                <w:b w:val="0"/>
                <w:sz w:val="19"/>
              </w:rPr>
              <w:t>CDS number, ISIN, face value, acquisition cost, status</w:t>
            </w:r>
          </w:p>
        </w:tc>
        <w:tc>
          <w:tcPr>
            <w:tcW w:type="dxa" w:w="2835"/>
            <w:vAlign w:val="center"/>
          </w:tcPr>
          <w:p>
            <w:pPr>
              <w:spacing w:after="0"/>
            </w:pPr>
            <w:r/>
            <w:r>
              <w:rPr>
                <w:b w:val="0"/>
                <w:sz w:val="19"/>
              </w:rPr>
              <w:t>BoT CDS (mirrored)</w:t>
            </w:r>
          </w:p>
        </w:tc>
      </w:tr>
      <w:tr>
        <w:tc>
          <w:tcPr>
            <w:tcW w:type="dxa" w:w="1701"/>
            <w:vAlign w:val="center"/>
            <w:shd w:val="clear" w:color="auto" w:fill="F2F2F2"/>
          </w:tcPr>
          <w:p>
            <w:pPr>
              <w:spacing w:after="0"/>
            </w:pPr>
            <w:r/>
            <w:r>
              <w:rPr>
                <w:b w:val="0"/>
                <w:sz w:val="19"/>
              </w:rPr>
              <w:t>Cash-flow</w:t>
            </w:r>
          </w:p>
        </w:tc>
        <w:tc>
          <w:tcPr>
            <w:tcW w:type="dxa" w:w="4876"/>
            <w:vAlign w:val="center"/>
            <w:shd w:val="clear" w:color="auto" w:fill="F2F2F2"/>
          </w:tcPr>
          <w:p>
            <w:pPr>
              <w:spacing w:after="0"/>
            </w:pPr>
            <w:r/>
            <w:r>
              <w:rPr>
                <w:b w:val="0"/>
                <w:sz w:val="19"/>
              </w:rPr>
              <w:t>Holding, type (coupon/redemption), due date, gross, tax, net, status</w:t>
            </w:r>
          </w:p>
        </w:tc>
        <w:tc>
          <w:tcPr>
            <w:tcW w:type="dxa" w:w="2835"/>
            <w:vAlign w:val="center"/>
            <w:shd w:val="clear" w:color="auto" w:fill="F2F2F2"/>
          </w:tcPr>
          <w:p>
            <w:pPr>
              <w:spacing w:after="0"/>
            </w:pPr>
            <w:r/>
            <w:r>
              <w:rPr>
                <w:b w:val="0"/>
                <w:sz w:val="19"/>
              </w:rPr>
              <w:t>Platform / BoT</w:t>
            </w:r>
          </w:p>
        </w:tc>
      </w:tr>
      <w:tr>
        <w:tc>
          <w:tcPr>
            <w:tcW w:type="dxa" w:w="1701"/>
            <w:vAlign w:val="center"/>
          </w:tcPr>
          <w:p>
            <w:pPr>
              <w:spacing w:after="0"/>
            </w:pPr>
            <w:r/>
            <w:r>
              <w:rPr>
                <w:b w:val="0"/>
                <w:sz w:val="19"/>
              </w:rPr>
              <w:t>Audit event</w:t>
            </w:r>
          </w:p>
        </w:tc>
        <w:tc>
          <w:tcPr>
            <w:tcW w:type="dxa" w:w="4876"/>
            <w:vAlign w:val="center"/>
          </w:tcPr>
          <w:p>
            <w:pPr>
              <w:spacing w:after="0"/>
            </w:pPr>
            <w:r/>
            <w:r>
              <w:rPr>
                <w:b w:val="0"/>
                <w:sz w:val="19"/>
              </w:rPr>
              <w:t>Timestamp, actor, channel, action, before/after, correlation ID, hash</w:t>
            </w:r>
          </w:p>
        </w:tc>
        <w:tc>
          <w:tcPr>
            <w:tcW w:type="dxa" w:w="2835"/>
            <w:vAlign w:val="center"/>
          </w:tcPr>
          <w:p>
            <w:pPr>
              <w:spacing w:after="0"/>
            </w:pPr>
            <w:r/>
            <w:r>
              <w:rPr>
                <w:b w:val="0"/>
                <w:sz w:val="19"/>
              </w:rPr>
              <w:t>Audit store</w:t>
            </w:r>
          </w:p>
        </w:tc>
      </w:tr>
    </w:tbl>
    <w:p>
      <w:pPr>
        <w:spacing w:after="40"/>
      </w:pPr>
    </w:p>
    <w:p>
      <w:pPr>
        <w:pStyle w:val="Heading2"/>
      </w:pPr>
      <w:r>
        <w:t>9.2 Data Stores</w:t>
      </w:r>
    </w:p>
    <w:p>
      <w:pPr>
        <w:pStyle w:val="ListBullet"/>
        <w:spacing w:after="40"/>
      </w:pPr>
      <w:r>
        <w:rPr>
          <w:b/>
        </w:rPr>
        <w:t xml:space="preserve">Transactional: </w:t>
      </w:r>
      <w:r>
        <w:t>PostgreSQL (or TCB's standard Oracle), one schema per service, in synchronous streaming replication to the DR site.</w:t>
      </w:r>
    </w:p>
    <w:p>
      <w:pPr>
        <w:pStyle w:val="ListBullet"/>
        <w:spacing w:after="40"/>
      </w:pPr>
      <w:r>
        <w:rPr>
          <w:b/>
        </w:rPr>
        <w:t xml:space="preserve">Events: </w:t>
      </w:r>
      <w:r>
        <w:t>Apache Kafka with a schema registry. Retention is configured for replay. Events feed the ODS, audit trail and notifications.</w:t>
      </w:r>
    </w:p>
    <w:p>
      <w:pPr>
        <w:pStyle w:val="ListBullet"/>
        <w:spacing w:after="40"/>
      </w:pPr>
      <w:r>
        <w:rPr>
          <w:b/>
        </w:rPr>
        <w:t xml:space="preserve">Documents: </w:t>
      </w:r>
      <w:r>
        <w:t>S3-compatible object storage (e.g. MinIO) holds KYC images and confirmations. Files are encrypted and managed under retention policies.</w:t>
      </w:r>
    </w:p>
    <w:p>
      <w:pPr>
        <w:pStyle w:val="ListBullet"/>
        <w:spacing w:after="40"/>
      </w:pPr>
      <w:r>
        <w:rPr>
          <w:b/>
        </w:rPr>
        <w:t xml:space="preserve">Analytics: </w:t>
      </w:r>
      <w:r>
        <w:t>an operational data store for near-real-time dashboards, plus a dimensional data warehouse (star schema) that can feed TCB's enterprise DWH.</w:t>
      </w:r>
    </w:p>
    <w:p>
      <w:pPr>
        <w:spacing w:after="0"/>
      </w:pPr>
    </w:p>
    <w:p>
      <w:pPr>
        <w:pStyle w:val="Heading2"/>
      </w:pPr>
      <w:r>
        <w:t>9.3 Data Protection and Retention</w:t>
      </w:r>
    </w:p>
    <w:p>
      <w:pPr>
        <w:pStyle w:val="ListBullet"/>
        <w:spacing w:after="40"/>
      </w:pPr>
      <w:r>
        <w:t>All personal data is stored and processed in Tanzania, in TCB's primary and DR data centres.</w:t>
      </w:r>
    </w:p>
    <w:p>
      <w:pPr>
        <w:pStyle w:val="ListBullet"/>
        <w:spacing w:after="40"/>
      </w:pPr>
      <w:r>
        <w:t>Data is classified (Public, Internal, Confidential, Restricted). NIDA numbers, phone numbers and account numbers are Restricted and are encrypted at field level with tokenisation for analytics.</w:t>
      </w:r>
    </w:p>
    <w:p>
      <w:pPr>
        <w:pStyle w:val="ListBullet"/>
        <w:spacing w:after="40"/>
      </w:pPr>
      <w:r>
        <w:t>Consent is captured and versioned per purpose (processing, marketing and data sharing with BoT/CDS), and data-subject requests are supported.</w:t>
      </w:r>
    </w:p>
    <w:p>
      <w:pPr>
        <w:pStyle w:val="ListBullet"/>
        <w:spacing w:after="40"/>
      </w:pPr>
      <w:r>
        <w:t>Retention follows BoT and AML record-keeping requirements (at least 10 years for transaction records, or as set by TCB policy). Archival and secure purge are automated.</w:t>
      </w:r>
    </w:p>
    <w:p>
      <w:pPr>
        <w:pStyle w:val="ListBullet"/>
        <w:spacing w:after="40"/>
      </w:pPr>
      <w:r>
        <w:t>Non-production environments use anonymised or masked data only, in line with TCB policy.</w:t>
      </w:r>
    </w:p>
    <w:p>
      <w:pPr>
        <w:spacing w:after="0"/>
      </w:pPr>
    </w:p>
    <w:p>
      <w:pPr>
        <w:pStyle w:val="Heading1"/>
      </w:pPr>
      <w:r>
        <w:t>10. Security Architecture</w:t>
      </w:r>
    </w:p>
    <w:p>
      <w:r>
        <w:rPr>
          <w:i w:val="0"/>
        </w:rPr>
        <w:t>Figure 8 shows the trust zones, the controls applied at each boundary, and the shared security services.</w:t>
      </w:r>
    </w:p>
    <w:p>
      <w:pPr>
        <w:keepNext/>
        <w:jc w:val="center"/>
      </w:pPr>
      <w:r>
        <w:drawing>
          <wp:inline xmlns:a="http://schemas.openxmlformats.org/drawingml/2006/main" xmlns:pic="http://schemas.openxmlformats.org/drawingml/2006/picture">
            <wp:extent cx="5976000" cy="3472720"/>
            <wp:docPr id="8" name="Picture 8"/>
            <wp:cNvGraphicFramePr>
              <a:graphicFrameLocks noChangeAspect="1"/>
            </wp:cNvGraphicFramePr>
            <a:graphic>
              <a:graphicData uri="http://schemas.openxmlformats.org/drawingml/2006/picture">
                <pic:pic>
                  <pic:nvPicPr>
                    <pic:cNvPr id="0" name="08_security.png"/>
                    <pic:cNvPicPr/>
                  </pic:nvPicPr>
                  <pic:blipFill>
                    <a:blip r:embed="rId18"/>
                    <a:stretch>
                      <a:fillRect/>
                    </a:stretch>
                  </pic:blipFill>
                  <pic:spPr>
                    <a:xfrm>
                      <a:off x="0" y="0"/>
                      <a:ext cx="5976000" cy="3472720"/>
                    </a:xfrm>
                    <a:prstGeom prst="rect"/>
                  </pic:spPr>
                </pic:pic>
              </a:graphicData>
            </a:graphic>
          </wp:inline>
        </w:drawing>
      </w:r>
    </w:p>
    <w:p>
      <w:pPr>
        <w:jc w:val="center"/>
      </w:pPr>
      <w:r>
        <w:rPr>
          <w:i/>
          <w:color w:val="595959"/>
          <w:sz w:val="18"/>
        </w:rPr>
        <w:t>Figure 8 – Security architecture and trust boundaries</w:t>
      </w:r>
    </w:p>
    <w:p>
      <w:pPr>
        <w:pStyle w:val="Heading2"/>
      </w:pPr>
      <w:r>
        <w:t>10.1 Security Controls by Layer</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1927"/>
        <w:gridCol w:w="7484"/>
      </w:tblGrid>
      <w:tr>
        <w:trPr>
          <w:tblHeader w:val="true"/>
        </w:trPr>
        <w:tc>
          <w:tcPr>
            <w:tcW w:type="dxa" w:w="1928"/>
            <w:vAlign w:val="center"/>
            <w:shd w:val="clear" w:color="auto" w:fill="1F3864"/>
          </w:tcPr>
          <w:p>
            <w:pPr>
              <w:spacing w:after="0"/>
            </w:pPr>
            <w:r/>
            <w:r>
              <w:rPr>
                <w:b/>
                <w:color w:val="FFFFFF"/>
                <w:sz w:val="19"/>
              </w:rPr>
              <w:t>Layer</w:t>
            </w:r>
          </w:p>
        </w:tc>
        <w:tc>
          <w:tcPr>
            <w:tcW w:type="dxa" w:w="7483"/>
            <w:vAlign w:val="center"/>
            <w:shd w:val="clear" w:color="auto" w:fill="1F3864"/>
          </w:tcPr>
          <w:p>
            <w:pPr>
              <w:spacing w:after="0"/>
            </w:pPr>
            <w:r/>
            <w:r>
              <w:rPr>
                <w:b/>
                <w:color w:val="FFFFFF"/>
                <w:sz w:val="19"/>
              </w:rPr>
              <w:t>Controls</w:t>
            </w:r>
          </w:p>
        </w:tc>
      </w:tr>
      <w:tr>
        <w:tc>
          <w:tcPr>
            <w:tcW w:type="dxa" w:w="1928"/>
            <w:vAlign w:val="center"/>
          </w:tcPr>
          <w:p>
            <w:pPr>
              <w:spacing w:after="0"/>
            </w:pPr>
            <w:r/>
            <w:r>
              <w:rPr>
                <w:b w:val="0"/>
                <w:sz w:val="19"/>
              </w:rPr>
              <w:t>Identity &amp; access</w:t>
            </w:r>
          </w:p>
        </w:tc>
        <w:tc>
          <w:tcPr>
            <w:tcW w:type="dxa" w:w="7483"/>
            <w:vAlign w:val="center"/>
          </w:tcPr>
          <w:p>
            <w:pPr>
              <w:spacing w:after="0"/>
            </w:pPr>
            <w:r/>
            <w:r>
              <w:rPr>
                <w:b w:val="0"/>
                <w:sz w:val="19"/>
              </w:rPr>
              <w:t>OIDC/OAuth 2.0 (Keycloak or TCB IAM); MFA for web, portal and staff; device binding plus biometrics for mobile; PIN plus SIM-swap check for USSD; RBAC/ABAC with least privilege; maker-checker for all financial and configuration actions; PAM for privileged access; staff SSO through TCB AD</w:t>
            </w:r>
          </w:p>
        </w:tc>
      </w:tr>
      <w:tr>
        <w:tc>
          <w:tcPr>
            <w:tcW w:type="dxa" w:w="1928"/>
            <w:vAlign w:val="center"/>
            <w:shd w:val="clear" w:color="auto" w:fill="F2F2F2"/>
          </w:tcPr>
          <w:p>
            <w:pPr>
              <w:spacing w:after="0"/>
            </w:pPr>
            <w:r/>
            <w:r>
              <w:rPr>
                <w:b w:val="0"/>
                <w:sz w:val="19"/>
              </w:rPr>
              <w:t>Network</w:t>
            </w:r>
          </w:p>
        </w:tc>
        <w:tc>
          <w:tcPr>
            <w:tcW w:type="dxa" w:w="7483"/>
            <w:vAlign w:val="center"/>
            <w:shd w:val="clear" w:color="auto" w:fill="F2F2F2"/>
          </w:tcPr>
          <w:p>
            <w:pPr>
              <w:spacing w:after="0"/>
            </w:pPr>
            <w:r/>
            <w:r>
              <w:rPr>
                <w:b w:val="0"/>
                <w:sz w:val="19"/>
              </w:rPr>
              <w:t>Segmented zones (Internet → DMZ → App → Data → Integration); WAF and anti-DDoS; default-deny firewalls; IP allow-lists and site-to-site VPN or private link to BoT; no direct database access from the DMZ</w:t>
            </w:r>
          </w:p>
        </w:tc>
      </w:tr>
      <w:tr>
        <w:tc>
          <w:tcPr>
            <w:tcW w:type="dxa" w:w="1928"/>
            <w:vAlign w:val="center"/>
          </w:tcPr>
          <w:p>
            <w:pPr>
              <w:spacing w:after="0"/>
            </w:pPr>
            <w:r/>
            <w:r>
              <w:rPr>
                <w:b w:val="0"/>
                <w:sz w:val="19"/>
              </w:rPr>
              <w:t>Application</w:t>
            </w:r>
          </w:p>
        </w:tc>
        <w:tc>
          <w:tcPr>
            <w:tcW w:type="dxa" w:w="7483"/>
            <w:vAlign w:val="center"/>
          </w:tcPr>
          <w:p>
            <w:pPr>
              <w:spacing w:after="0"/>
            </w:pPr>
            <w:r/>
            <w:r>
              <w:rPr>
                <w:b w:val="0"/>
                <w:sz w:val="19"/>
              </w:rPr>
              <w:t>Secure SDLC; OWASP ASVS L2 (web/API) and MASVS L2 (mobile); input validation; rate limiting; bot/fraud detection; SAST, DAST, SCA and container scanning in CI/CD; secrets never stored in code</w:t>
            </w:r>
          </w:p>
        </w:tc>
      </w:tr>
      <w:tr>
        <w:tc>
          <w:tcPr>
            <w:tcW w:type="dxa" w:w="1928"/>
            <w:vAlign w:val="center"/>
            <w:shd w:val="clear" w:color="auto" w:fill="F2F2F2"/>
          </w:tcPr>
          <w:p>
            <w:pPr>
              <w:spacing w:after="0"/>
            </w:pPr>
            <w:r/>
            <w:r>
              <w:rPr>
                <w:b w:val="0"/>
                <w:sz w:val="19"/>
              </w:rPr>
              <w:t>Data</w:t>
            </w:r>
          </w:p>
        </w:tc>
        <w:tc>
          <w:tcPr>
            <w:tcW w:type="dxa" w:w="7483"/>
            <w:vAlign w:val="center"/>
            <w:shd w:val="clear" w:color="auto" w:fill="F2F2F2"/>
          </w:tcPr>
          <w:p>
            <w:pPr>
              <w:spacing w:after="0"/>
            </w:pPr>
            <w:r/>
            <w:r>
              <w:rPr>
                <w:b w:val="0"/>
                <w:sz w:val="19"/>
              </w:rPr>
              <w:t>TLS 1.2+ everywhere and mTLS for service-to-service and BoT links; AES-256 at rest; field-level encryption for Restricted data; HSM-backed key management and rotation; masking in logs and non-production</w:t>
            </w:r>
          </w:p>
        </w:tc>
      </w:tr>
      <w:tr>
        <w:tc>
          <w:tcPr>
            <w:tcW w:type="dxa" w:w="1928"/>
            <w:vAlign w:val="center"/>
          </w:tcPr>
          <w:p>
            <w:pPr>
              <w:spacing w:after="0"/>
            </w:pPr>
            <w:r/>
            <w:r>
              <w:rPr>
                <w:b w:val="0"/>
                <w:sz w:val="19"/>
              </w:rPr>
              <w:t>Transaction integrity</w:t>
            </w:r>
          </w:p>
        </w:tc>
        <w:tc>
          <w:tcPr>
            <w:tcW w:type="dxa" w:w="7483"/>
            <w:vAlign w:val="center"/>
          </w:tcPr>
          <w:p>
            <w:pPr>
              <w:spacing w:after="0"/>
            </w:pPr>
            <w:r/>
            <w:r>
              <w:rPr>
                <w:b w:val="0"/>
                <w:sz w:val="19"/>
              </w:rPr>
              <w:t>Digitally signed messages and files to and from BoT (PKI); idempotency; hash-chained audit log; four-eyes approval of consolidated submissions</w:t>
            </w:r>
          </w:p>
        </w:tc>
      </w:tr>
      <w:tr>
        <w:tc>
          <w:tcPr>
            <w:tcW w:type="dxa" w:w="1928"/>
            <w:vAlign w:val="center"/>
            <w:shd w:val="clear" w:color="auto" w:fill="F2F2F2"/>
          </w:tcPr>
          <w:p>
            <w:pPr>
              <w:spacing w:after="0"/>
            </w:pPr>
            <w:r/>
            <w:r>
              <w:rPr>
                <w:b w:val="0"/>
                <w:sz w:val="19"/>
              </w:rPr>
              <w:t>Monitoring &amp; response</w:t>
            </w:r>
          </w:p>
        </w:tc>
        <w:tc>
          <w:tcPr>
            <w:tcW w:type="dxa" w:w="7483"/>
            <w:vAlign w:val="center"/>
            <w:shd w:val="clear" w:color="auto" w:fill="F2F2F2"/>
          </w:tcPr>
          <w:p>
            <w:pPr>
              <w:spacing w:after="0"/>
            </w:pPr>
            <w:r/>
            <w:r>
              <w:rPr>
                <w:b w:val="0"/>
                <w:sz w:val="19"/>
              </w:rPr>
              <w:t>Centralised logging to TCB SIEM/SOC; use cases for account takeover, abnormal bidding and privilege misuse; incident response playbooks aligned to BoT incident-reporting timelines</w:t>
            </w:r>
          </w:p>
        </w:tc>
      </w:tr>
      <w:tr>
        <w:tc>
          <w:tcPr>
            <w:tcW w:type="dxa" w:w="1928"/>
            <w:vAlign w:val="center"/>
          </w:tcPr>
          <w:p>
            <w:pPr>
              <w:spacing w:after="0"/>
            </w:pPr>
            <w:r/>
            <w:r>
              <w:rPr>
                <w:b w:val="0"/>
                <w:sz w:val="19"/>
              </w:rPr>
              <w:t>Assurance</w:t>
            </w:r>
          </w:p>
        </w:tc>
        <w:tc>
          <w:tcPr>
            <w:tcW w:type="dxa" w:w="7483"/>
            <w:vAlign w:val="center"/>
          </w:tcPr>
          <w:p>
            <w:pPr>
              <w:spacing w:after="0"/>
            </w:pPr>
            <w:r/>
            <w:r>
              <w:rPr>
                <w:b w:val="0"/>
                <w:sz w:val="19"/>
              </w:rPr>
              <w:t>Independent penetration test before go-live and annually after; vulnerability management with SLAs; ISO 27001-aligned controls</w:t>
            </w:r>
          </w:p>
        </w:tc>
      </w:tr>
    </w:tbl>
    <w:p>
      <w:pPr>
        <w:spacing w:after="40"/>
      </w:pPr>
    </w:p>
    <w:p>
      <w:pPr>
        <w:pStyle w:val="Heading2"/>
      </w:pPr>
      <w:r>
        <w:t>10.2 Compliance Mapping</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608"/>
        <w:gridCol w:w="3288"/>
        <w:gridCol w:w="3515"/>
      </w:tblGrid>
      <w:tr>
        <w:trPr>
          <w:tblHeader w:val="true"/>
        </w:trPr>
        <w:tc>
          <w:tcPr>
            <w:tcW w:type="dxa" w:w="2608"/>
            <w:vAlign w:val="center"/>
            <w:shd w:val="clear" w:color="auto" w:fill="1F3864"/>
          </w:tcPr>
          <w:p>
            <w:pPr>
              <w:spacing w:after="0"/>
            </w:pPr>
            <w:r/>
            <w:r>
              <w:rPr>
                <w:b/>
                <w:color w:val="FFFFFF"/>
                <w:sz w:val="19"/>
              </w:rPr>
              <w:t>Requirement source</w:t>
            </w:r>
          </w:p>
        </w:tc>
        <w:tc>
          <w:tcPr>
            <w:tcW w:type="dxa" w:w="3288"/>
            <w:vAlign w:val="center"/>
            <w:shd w:val="clear" w:color="auto" w:fill="1F3864"/>
          </w:tcPr>
          <w:p>
            <w:pPr>
              <w:spacing w:after="0"/>
            </w:pPr>
            <w:r/>
            <w:r>
              <w:rPr>
                <w:b/>
                <w:color w:val="FFFFFF"/>
                <w:sz w:val="19"/>
              </w:rPr>
              <w:t>Key obligations</w:t>
            </w:r>
          </w:p>
        </w:tc>
        <w:tc>
          <w:tcPr>
            <w:tcW w:type="dxa" w:w="3515"/>
            <w:vAlign w:val="center"/>
            <w:shd w:val="clear" w:color="auto" w:fill="1F3864"/>
          </w:tcPr>
          <w:p>
            <w:pPr>
              <w:spacing w:after="0"/>
            </w:pPr>
            <w:r/>
            <w:r>
              <w:rPr>
                <w:b/>
                <w:color w:val="FFFFFF"/>
                <w:sz w:val="19"/>
              </w:rPr>
              <w:t>Architectural response</w:t>
            </w:r>
          </w:p>
        </w:tc>
      </w:tr>
      <w:tr>
        <w:tc>
          <w:tcPr>
            <w:tcW w:type="dxa" w:w="2608"/>
            <w:vAlign w:val="center"/>
          </w:tcPr>
          <w:p>
            <w:pPr>
              <w:spacing w:after="0"/>
            </w:pPr>
            <w:r/>
            <w:r>
              <w:rPr>
                <w:b w:val="0"/>
                <w:sz w:val="19"/>
              </w:rPr>
              <w:t>Bank of Tanzania Act, 2006 and BoT auction rules/guidelines</w:t>
            </w:r>
          </w:p>
        </w:tc>
        <w:tc>
          <w:tcPr>
            <w:tcW w:type="dxa" w:w="3288"/>
            <w:vAlign w:val="center"/>
          </w:tcPr>
          <w:p>
            <w:pPr>
              <w:spacing w:after="0"/>
            </w:pPr>
            <w:r/>
            <w:r>
              <w:rPr>
                <w:b w:val="0"/>
                <w:sz w:val="19"/>
              </w:rPr>
              <w:t>Fiscal-agent rules, participant obligations, auction procedures</w:t>
            </w:r>
          </w:p>
        </w:tc>
        <w:tc>
          <w:tcPr>
            <w:tcW w:type="dxa" w:w="3515"/>
            <w:vAlign w:val="center"/>
          </w:tcPr>
          <w:p>
            <w:pPr>
              <w:spacing w:after="0"/>
            </w:pPr>
            <w:r/>
            <w:r>
              <w:rPr>
                <w:b w:val="0"/>
                <w:sz w:val="19"/>
              </w:rPr>
              <w:t>Configurable rules engine, BoT-format submissions, oversight portal</w:t>
            </w:r>
          </w:p>
        </w:tc>
      </w:tr>
      <w:tr>
        <w:tc>
          <w:tcPr>
            <w:tcW w:type="dxa" w:w="2608"/>
            <w:vAlign w:val="center"/>
            <w:shd w:val="clear" w:color="auto" w:fill="F2F2F2"/>
          </w:tcPr>
          <w:p>
            <w:pPr>
              <w:spacing w:after="0"/>
            </w:pPr>
            <w:r/>
            <w:r>
              <w:rPr>
                <w:b w:val="0"/>
                <w:sz w:val="19"/>
              </w:rPr>
              <w:t>BoT cybersecurity and ICT risk management guidelines</w:t>
            </w:r>
          </w:p>
        </w:tc>
        <w:tc>
          <w:tcPr>
            <w:tcW w:type="dxa" w:w="3288"/>
            <w:vAlign w:val="center"/>
            <w:shd w:val="clear" w:color="auto" w:fill="F2F2F2"/>
          </w:tcPr>
          <w:p>
            <w:pPr>
              <w:spacing w:after="0"/>
            </w:pPr>
            <w:r/>
            <w:r>
              <w:rPr>
                <w:b w:val="0"/>
                <w:sz w:val="19"/>
              </w:rPr>
              <w:t>Governance, risk assessment, security controls, incident reporting, outsourcing</w:t>
            </w:r>
          </w:p>
        </w:tc>
        <w:tc>
          <w:tcPr>
            <w:tcW w:type="dxa" w:w="3515"/>
            <w:vAlign w:val="center"/>
            <w:shd w:val="clear" w:color="auto" w:fill="F2F2F2"/>
          </w:tcPr>
          <w:p>
            <w:pPr>
              <w:spacing w:after="0"/>
            </w:pPr>
            <w:r/>
            <w:r>
              <w:rPr>
                <w:b w:val="0"/>
                <w:sz w:val="19"/>
              </w:rPr>
              <w:t>Controls in 10.1, SIEM integration, DR, third-party access through PAM</w:t>
            </w:r>
          </w:p>
        </w:tc>
      </w:tr>
      <w:tr>
        <w:tc>
          <w:tcPr>
            <w:tcW w:type="dxa" w:w="2608"/>
            <w:vAlign w:val="center"/>
          </w:tcPr>
          <w:p>
            <w:pPr>
              <w:spacing w:after="0"/>
            </w:pPr>
            <w:r/>
            <w:r>
              <w:rPr>
                <w:b w:val="0"/>
                <w:sz w:val="19"/>
              </w:rPr>
              <w:t>Personal data protection legislation (R4)</w:t>
            </w:r>
          </w:p>
        </w:tc>
        <w:tc>
          <w:tcPr>
            <w:tcW w:type="dxa" w:w="3288"/>
            <w:vAlign w:val="center"/>
          </w:tcPr>
          <w:p>
            <w:pPr>
              <w:spacing w:after="0"/>
            </w:pPr>
            <w:r/>
            <w:r>
              <w:rPr>
                <w:b w:val="0"/>
                <w:sz w:val="19"/>
              </w:rPr>
              <w:t>Lawful processing, consent, security, data-subject rights, cross-border limits</w:t>
            </w:r>
          </w:p>
        </w:tc>
        <w:tc>
          <w:tcPr>
            <w:tcW w:type="dxa" w:w="3515"/>
            <w:vAlign w:val="center"/>
          </w:tcPr>
          <w:p>
            <w:pPr>
              <w:spacing w:after="0"/>
            </w:pPr>
            <w:r/>
            <w:r>
              <w:rPr>
                <w:b w:val="0"/>
                <w:sz w:val="19"/>
              </w:rPr>
              <w:t>In-country hosting, consent service, encryption, retention and purge</w:t>
            </w:r>
          </w:p>
        </w:tc>
      </w:tr>
      <w:tr>
        <w:tc>
          <w:tcPr>
            <w:tcW w:type="dxa" w:w="2608"/>
            <w:vAlign w:val="center"/>
            <w:shd w:val="clear" w:color="auto" w:fill="F2F2F2"/>
          </w:tcPr>
          <w:p>
            <w:pPr>
              <w:spacing w:after="0"/>
            </w:pPr>
            <w:r/>
            <w:r>
              <w:rPr>
                <w:b w:val="0"/>
                <w:sz w:val="19"/>
              </w:rPr>
              <w:t>AML/CFT legislation and regulations</w:t>
            </w:r>
          </w:p>
        </w:tc>
        <w:tc>
          <w:tcPr>
            <w:tcW w:type="dxa" w:w="3288"/>
            <w:vAlign w:val="center"/>
            <w:shd w:val="clear" w:color="auto" w:fill="F2F2F2"/>
          </w:tcPr>
          <w:p>
            <w:pPr>
              <w:spacing w:after="0"/>
            </w:pPr>
            <w:r/>
            <w:r>
              <w:rPr>
                <w:b w:val="0"/>
                <w:sz w:val="19"/>
              </w:rPr>
              <w:t>CDD/EDD, screening, record keeping, STR reporting</w:t>
            </w:r>
          </w:p>
        </w:tc>
        <w:tc>
          <w:tcPr>
            <w:tcW w:type="dxa" w:w="3515"/>
            <w:vAlign w:val="center"/>
            <w:shd w:val="clear" w:color="auto" w:fill="F2F2F2"/>
          </w:tcPr>
          <w:p>
            <w:pPr>
              <w:spacing w:after="0"/>
            </w:pPr>
            <w:r/>
            <w:r>
              <w:rPr>
                <w:b w:val="0"/>
                <w:sz w:val="19"/>
              </w:rPr>
              <w:t>KYC service, sanctions/PEP screening, AML system integration, 10-year audit</w:t>
            </w:r>
          </w:p>
        </w:tc>
      </w:tr>
      <w:tr>
        <w:tc>
          <w:tcPr>
            <w:tcW w:type="dxa" w:w="2608"/>
            <w:vAlign w:val="center"/>
          </w:tcPr>
          <w:p>
            <w:pPr>
              <w:spacing w:after="0"/>
            </w:pPr>
            <w:r/>
            <w:r>
              <w:rPr>
                <w:b w:val="0"/>
                <w:sz w:val="19"/>
              </w:rPr>
              <w:t>TCB ICT and Security Policies</w:t>
            </w:r>
          </w:p>
        </w:tc>
        <w:tc>
          <w:tcPr>
            <w:tcW w:type="dxa" w:w="3288"/>
            <w:vAlign w:val="center"/>
          </w:tcPr>
          <w:p>
            <w:pPr>
              <w:spacing w:after="0"/>
            </w:pPr>
            <w:r/>
            <w:r>
              <w:rPr>
                <w:b w:val="0"/>
                <w:sz w:val="19"/>
              </w:rPr>
              <w:t>Internal standards for access, change, hosting, logging</w:t>
            </w:r>
          </w:p>
        </w:tc>
        <w:tc>
          <w:tcPr>
            <w:tcW w:type="dxa" w:w="3515"/>
            <w:vAlign w:val="center"/>
          </w:tcPr>
          <w:p>
            <w:pPr>
              <w:spacing w:after="0"/>
            </w:pPr>
            <w:r/>
            <w:r>
              <w:rPr>
                <w:b w:val="0"/>
                <w:sz w:val="19"/>
              </w:rPr>
              <w:t>Adoption of TCB IAM, SIEM, change management and hosting standards</w:t>
            </w:r>
          </w:p>
        </w:tc>
      </w:tr>
    </w:tbl>
    <w:p>
      <w:pPr>
        <w:spacing w:after="40"/>
      </w:pPr>
    </w:p>
    <w:p>
      <w:pPr>
        <w:pStyle w:val="Heading1"/>
      </w:pPr>
      <w:r>
        <w:t>11. Reporting and Analytics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268"/>
        <w:gridCol w:w="7144"/>
      </w:tblGrid>
      <w:tr>
        <w:trPr>
          <w:tblHeader w:val="true"/>
        </w:trPr>
        <w:tc>
          <w:tcPr>
            <w:tcW w:type="dxa" w:w="2268"/>
            <w:vAlign w:val="center"/>
            <w:shd w:val="clear" w:color="auto" w:fill="1F3864"/>
          </w:tcPr>
          <w:p>
            <w:pPr>
              <w:spacing w:after="0"/>
            </w:pPr>
            <w:r/>
            <w:r>
              <w:rPr>
                <w:b/>
                <w:color w:val="FFFFFF"/>
                <w:sz w:val="19"/>
              </w:rPr>
              <w:t>Audience</w:t>
            </w:r>
          </w:p>
        </w:tc>
        <w:tc>
          <w:tcPr>
            <w:tcW w:type="dxa" w:w="7143"/>
            <w:vAlign w:val="center"/>
            <w:shd w:val="clear" w:color="auto" w:fill="1F3864"/>
          </w:tcPr>
          <w:p>
            <w:pPr>
              <w:spacing w:after="0"/>
            </w:pPr>
            <w:r/>
            <w:r>
              <w:rPr>
                <w:b/>
                <w:color w:val="FFFFFF"/>
                <w:sz w:val="19"/>
              </w:rPr>
              <w:t>Dashboards and reports</w:t>
            </w:r>
          </w:p>
        </w:tc>
      </w:tr>
      <w:tr>
        <w:tc>
          <w:tcPr>
            <w:tcW w:type="dxa" w:w="2268"/>
            <w:vAlign w:val="center"/>
          </w:tcPr>
          <w:p>
            <w:pPr>
              <w:spacing w:after="0"/>
            </w:pPr>
            <w:r/>
            <w:r>
              <w:rPr>
                <w:b w:val="0"/>
                <w:sz w:val="19"/>
              </w:rPr>
              <w:t>TCB Management</w:t>
            </w:r>
          </w:p>
        </w:tc>
        <w:tc>
          <w:tcPr>
            <w:tcW w:type="dxa" w:w="7143"/>
            <w:vAlign w:val="center"/>
          </w:tcPr>
          <w:p>
            <w:pPr>
              <w:spacing w:after="0"/>
            </w:pPr>
            <w:r/>
            <w:r>
              <w:rPr>
                <w:b w:val="0"/>
                <w:sz w:val="19"/>
              </w:rPr>
              <w:t>Participation trends, bid volumes and values by channel, region, investor type and gender; revenue from fees; new investors; channel adoption</w:t>
            </w:r>
          </w:p>
        </w:tc>
      </w:tr>
      <w:tr>
        <w:tc>
          <w:tcPr>
            <w:tcW w:type="dxa" w:w="2268"/>
            <w:vAlign w:val="center"/>
            <w:shd w:val="clear" w:color="auto" w:fill="F2F2F2"/>
          </w:tcPr>
          <w:p>
            <w:pPr>
              <w:spacing w:after="0"/>
            </w:pPr>
            <w:r/>
            <w:r>
              <w:rPr>
                <w:b w:val="0"/>
                <w:sz w:val="19"/>
              </w:rPr>
              <w:t>TCB Treasury &amp; Operations</w:t>
            </w:r>
          </w:p>
        </w:tc>
        <w:tc>
          <w:tcPr>
            <w:tcW w:type="dxa" w:w="7143"/>
            <w:vAlign w:val="center"/>
            <w:shd w:val="clear" w:color="auto" w:fill="F2F2F2"/>
          </w:tcPr>
          <w:p>
            <w:pPr>
              <w:spacing w:after="0"/>
            </w:pPr>
            <w:r/>
            <w:r>
              <w:rPr>
                <w:b w:val="0"/>
                <w:sz w:val="19"/>
              </w:rPr>
              <w:t>Live auction-day monitor (bids, holds, time to cut-off), submission status, results summary, settlement and reconciliation status, exceptions ageing</w:t>
            </w:r>
          </w:p>
        </w:tc>
      </w:tr>
      <w:tr>
        <w:tc>
          <w:tcPr>
            <w:tcW w:type="dxa" w:w="2268"/>
            <w:vAlign w:val="center"/>
          </w:tcPr>
          <w:p>
            <w:pPr>
              <w:spacing w:after="0"/>
            </w:pPr>
            <w:r/>
            <w:r>
              <w:rPr>
                <w:b w:val="0"/>
                <w:sz w:val="19"/>
              </w:rPr>
              <w:t>TCB Compliance</w:t>
            </w:r>
          </w:p>
        </w:tc>
        <w:tc>
          <w:tcPr>
            <w:tcW w:type="dxa" w:w="7143"/>
            <w:vAlign w:val="center"/>
          </w:tcPr>
          <w:p>
            <w:pPr>
              <w:spacing w:after="0"/>
            </w:pPr>
            <w:r/>
            <w:r>
              <w:rPr>
                <w:b w:val="0"/>
                <w:sz w:val="19"/>
              </w:rPr>
              <w:t>KYC status, high-risk investors, screening hits, maker-checker overrides, audit trail queries</w:t>
            </w:r>
          </w:p>
        </w:tc>
      </w:tr>
      <w:tr>
        <w:tc>
          <w:tcPr>
            <w:tcW w:type="dxa" w:w="2268"/>
            <w:vAlign w:val="center"/>
            <w:shd w:val="clear" w:color="auto" w:fill="F2F2F2"/>
          </w:tcPr>
          <w:p>
            <w:pPr>
              <w:spacing w:after="0"/>
            </w:pPr>
            <w:r/>
            <w:r>
              <w:rPr>
                <w:b w:val="0"/>
                <w:sz w:val="19"/>
              </w:rPr>
              <w:t>BoT (oversight)</w:t>
            </w:r>
          </w:p>
        </w:tc>
        <w:tc>
          <w:tcPr>
            <w:tcW w:type="dxa" w:w="7143"/>
            <w:vAlign w:val="center"/>
            <w:shd w:val="clear" w:color="auto" w:fill="F2F2F2"/>
          </w:tcPr>
          <w:p>
            <w:pPr>
              <w:spacing w:after="0"/>
            </w:pPr>
            <w:r/>
            <w:r>
              <w:rPr>
                <w:b w:val="0"/>
                <w:sz w:val="19"/>
              </w:rPr>
              <w:t>Real-time and per-auction statistics, retail vs institutional participation, geographic distribution, settlement performance, regulatory returns in BoT formats</w:t>
            </w:r>
          </w:p>
        </w:tc>
      </w:tr>
      <w:tr>
        <w:tc>
          <w:tcPr>
            <w:tcW w:type="dxa" w:w="2268"/>
            <w:vAlign w:val="center"/>
          </w:tcPr>
          <w:p>
            <w:pPr>
              <w:spacing w:after="0"/>
            </w:pPr>
            <w:r/>
            <w:r>
              <w:rPr>
                <w:b w:val="0"/>
                <w:sz w:val="19"/>
              </w:rPr>
              <w:t>Investors</w:t>
            </w:r>
          </w:p>
        </w:tc>
        <w:tc>
          <w:tcPr>
            <w:tcW w:type="dxa" w:w="7143"/>
            <w:vAlign w:val="center"/>
          </w:tcPr>
          <w:p>
            <w:pPr>
              <w:spacing w:after="0"/>
            </w:pPr>
            <w:r/>
            <w:r>
              <w:rPr>
                <w:b w:val="0"/>
                <w:sz w:val="19"/>
              </w:rPr>
              <w:t>Portfolio, statements, confirmations, coupon/maturity calendar, tax certificates</w:t>
            </w:r>
          </w:p>
        </w:tc>
      </w:tr>
    </w:tbl>
    <w:p>
      <w:pPr>
        <w:spacing w:after="40"/>
      </w:pPr>
    </w:p>
    <w:p>
      <w:r>
        <w:rPr>
          <w:i w:val="0"/>
        </w:rPr>
        <w:t>Reports can be exported to PDF, Excel and CSV and scheduled for email distribution. Dashboards refresh in near real time from the event stream (latency under 1 minute).</w:t>
      </w:r>
    </w:p>
    <w:p>
      <w:pPr>
        <w:pStyle w:val="Heading1"/>
      </w:pPr>
      <w:r>
        <w:t>12. Non-Functional Requirements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041"/>
        <w:gridCol w:w="7371"/>
      </w:tblGrid>
      <w:tr>
        <w:trPr>
          <w:tblHeader w:val="true"/>
        </w:trPr>
        <w:tc>
          <w:tcPr>
            <w:tcW w:type="dxa" w:w="2041"/>
            <w:vAlign w:val="center"/>
            <w:shd w:val="clear" w:color="auto" w:fill="1F3864"/>
          </w:tcPr>
          <w:p>
            <w:pPr>
              <w:spacing w:after="0"/>
            </w:pPr>
            <w:r/>
            <w:r>
              <w:rPr>
                <w:b/>
                <w:color w:val="FFFFFF"/>
                <w:sz w:val="19"/>
              </w:rPr>
              <w:t>Attribute</w:t>
            </w:r>
          </w:p>
        </w:tc>
        <w:tc>
          <w:tcPr>
            <w:tcW w:type="dxa" w:w="7370"/>
            <w:vAlign w:val="center"/>
            <w:shd w:val="clear" w:color="auto" w:fill="1F3864"/>
          </w:tcPr>
          <w:p>
            <w:pPr>
              <w:spacing w:after="0"/>
            </w:pPr>
            <w:r/>
            <w:r>
              <w:rPr>
                <w:b/>
                <w:color w:val="FFFFFF"/>
                <w:sz w:val="19"/>
              </w:rPr>
              <w:t>Target</w:t>
            </w:r>
          </w:p>
        </w:tc>
      </w:tr>
      <w:tr>
        <w:tc>
          <w:tcPr>
            <w:tcW w:type="dxa" w:w="2041"/>
            <w:vAlign w:val="center"/>
          </w:tcPr>
          <w:p>
            <w:pPr>
              <w:spacing w:after="0"/>
            </w:pPr>
            <w:r/>
            <w:r>
              <w:rPr>
                <w:b w:val="0"/>
                <w:sz w:val="19"/>
              </w:rPr>
              <w:t>Availability</w:t>
            </w:r>
          </w:p>
        </w:tc>
        <w:tc>
          <w:tcPr>
            <w:tcW w:type="dxa" w:w="7370"/>
            <w:vAlign w:val="center"/>
          </w:tcPr>
          <w:p>
            <w:pPr>
              <w:spacing w:after="0"/>
            </w:pPr>
            <w:r/>
            <w:r>
              <w:rPr>
                <w:b w:val="0"/>
                <w:sz w:val="19"/>
              </w:rPr>
              <w:t>99.9% monthly for investor channels; 99.95% during auction windows</w:t>
            </w:r>
          </w:p>
        </w:tc>
      </w:tr>
      <w:tr>
        <w:tc>
          <w:tcPr>
            <w:tcW w:type="dxa" w:w="2041"/>
            <w:vAlign w:val="center"/>
            <w:shd w:val="clear" w:color="auto" w:fill="F2F2F2"/>
          </w:tcPr>
          <w:p>
            <w:pPr>
              <w:spacing w:after="0"/>
            </w:pPr>
            <w:r/>
            <w:r>
              <w:rPr>
                <w:b w:val="0"/>
                <w:sz w:val="19"/>
              </w:rPr>
              <w:t>Performance</w:t>
            </w:r>
          </w:p>
        </w:tc>
        <w:tc>
          <w:tcPr>
            <w:tcW w:type="dxa" w:w="7370"/>
            <w:vAlign w:val="center"/>
            <w:shd w:val="clear" w:color="auto" w:fill="F2F2F2"/>
          </w:tcPr>
          <w:p>
            <w:pPr>
              <w:spacing w:after="0"/>
            </w:pPr>
            <w:r/>
            <w:r>
              <w:rPr>
                <w:b w:val="0"/>
                <w:sz w:val="19"/>
              </w:rPr>
              <w:t>API p95 &lt; 500 ms (excluding external calls); USSD step response &lt; 2 s; results notification to all investors within 15 minutes of result receipt</w:t>
            </w:r>
          </w:p>
        </w:tc>
      </w:tr>
      <w:tr>
        <w:tc>
          <w:tcPr>
            <w:tcW w:type="dxa" w:w="2041"/>
            <w:vAlign w:val="center"/>
          </w:tcPr>
          <w:p>
            <w:pPr>
              <w:spacing w:after="0"/>
            </w:pPr>
            <w:r/>
            <w:r>
              <w:rPr>
                <w:b w:val="0"/>
                <w:sz w:val="19"/>
              </w:rPr>
              <w:t>Capacity</w:t>
            </w:r>
          </w:p>
        </w:tc>
        <w:tc>
          <w:tcPr>
            <w:tcW w:type="dxa" w:w="7370"/>
            <w:vAlign w:val="center"/>
          </w:tcPr>
          <w:p>
            <w:pPr>
              <w:spacing w:after="0"/>
            </w:pPr>
            <w:r/>
            <w:r>
              <w:rPr>
                <w:b w:val="0"/>
                <w:sz w:val="19"/>
              </w:rPr>
              <w:t>Sized for 500,000 registered investors, 50,000 bids per auction and 300 concurrent bids per second at the cut-off peak; horizontally scalable</w:t>
            </w:r>
          </w:p>
        </w:tc>
      </w:tr>
      <w:tr>
        <w:tc>
          <w:tcPr>
            <w:tcW w:type="dxa" w:w="2041"/>
            <w:vAlign w:val="center"/>
            <w:shd w:val="clear" w:color="auto" w:fill="F2F2F2"/>
          </w:tcPr>
          <w:p>
            <w:pPr>
              <w:spacing w:after="0"/>
            </w:pPr>
            <w:r/>
            <w:r>
              <w:rPr>
                <w:b w:val="0"/>
                <w:sz w:val="19"/>
              </w:rPr>
              <w:t>Recovery</w:t>
            </w:r>
          </w:p>
        </w:tc>
        <w:tc>
          <w:tcPr>
            <w:tcW w:type="dxa" w:w="7370"/>
            <w:vAlign w:val="center"/>
            <w:shd w:val="clear" w:color="auto" w:fill="F2F2F2"/>
          </w:tcPr>
          <w:p>
            <w:pPr>
              <w:spacing w:after="0"/>
            </w:pPr>
            <w:r/>
            <w:r>
              <w:rPr>
                <w:b w:val="0"/>
                <w:sz w:val="19"/>
              </w:rPr>
              <w:t>RPO ≤ 5 minutes; RTO ≤ 2 hours; tested DR failover twice a year</w:t>
            </w:r>
          </w:p>
        </w:tc>
      </w:tr>
      <w:tr>
        <w:tc>
          <w:tcPr>
            <w:tcW w:type="dxa" w:w="2041"/>
            <w:vAlign w:val="center"/>
          </w:tcPr>
          <w:p>
            <w:pPr>
              <w:spacing w:after="0"/>
            </w:pPr>
            <w:r/>
            <w:r>
              <w:rPr>
                <w:b w:val="0"/>
                <w:sz w:val="19"/>
              </w:rPr>
              <w:t>Security</w:t>
            </w:r>
          </w:p>
        </w:tc>
        <w:tc>
          <w:tcPr>
            <w:tcW w:type="dxa" w:w="7370"/>
            <w:vAlign w:val="center"/>
          </w:tcPr>
          <w:p>
            <w:pPr>
              <w:spacing w:after="0"/>
            </w:pPr>
            <w:r/>
            <w:r>
              <w:rPr>
                <w:b w:val="0"/>
                <w:sz w:val="19"/>
              </w:rPr>
              <w:t>Zero critical/high findings open at go-live; OWASP ASVS L2 and MASVS L2</w:t>
            </w:r>
          </w:p>
        </w:tc>
      </w:tr>
      <w:tr>
        <w:tc>
          <w:tcPr>
            <w:tcW w:type="dxa" w:w="2041"/>
            <w:vAlign w:val="center"/>
            <w:shd w:val="clear" w:color="auto" w:fill="F2F2F2"/>
          </w:tcPr>
          <w:p>
            <w:pPr>
              <w:spacing w:after="0"/>
            </w:pPr>
            <w:r/>
            <w:r>
              <w:rPr>
                <w:b w:val="0"/>
                <w:sz w:val="19"/>
              </w:rPr>
              <w:t>Usability</w:t>
            </w:r>
          </w:p>
        </w:tc>
        <w:tc>
          <w:tcPr>
            <w:tcW w:type="dxa" w:w="7370"/>
            <w:vAlign w:val="center"/>
            <w:shd w:val="clear" w:color="auto" w:fill="F2F2F2"/>
          </w:tcPr>
          <w:p>
            <w:pPr>
              <w:spacing w:after="0"/>
            </w:pPr>
            <w:r/>
            <w:r>
              <w:rPr>
                <w:b w:val="0"/>
                <w:sz w:val="19"/>
              </w:rPr>
              <w:t>Kiswahili and English; WCAG 2.1 AA for web; onboarding in under 10 minutes for existing TCB customers</w:t>
            </w:r>
          </w:p>
        </w:tc>
      </w:tr>
      <w:tr>
        <w:tc>
          <w:tcPr>
            <w:tcW w:type="dxa" w:w="2041"/>
            <w:vAlign w:val="center"/>
          </w:tcPr>
          <w:p>
            <w:pPr>
              <w:spacing w:after="0"/>
            </w:pPr>
            <w:r/>
            <w:r>
              <w:rPr>
                <w:b w:val="0"/>
                <w:sz w:val="19"/>
              </w:rPr>
              <w:t>Auditability</w:t>
            </w:r>
          </w:p>
        </w:tc>
        <w:tc>
          <w:tcPr>
            <w:tcW w:type="dxa" w:w="7370"/>
            <w:vAlign w:val="center"/>
          </w:tcPr>
          <w:p>
            <w:pPr>
              <w:spacing w:after="0"/>
            </w:pPr>
            <w:r/>
            <w:r>
              <w:rPr>
                <w:b w:val="0"/>
                <w:sz w:val="19"/>
              </w:rPr>
              <w:t>100% of state changes audited with actor, timestamp and channel; immutable retention of at least 10 years</w:t>
            </w:r>
          </w:p>
        </w:tc>
      </w:tr>
      <w:tr>
        <w:tc>
          <w:tcPr>
            <w:tcW w:type="dxa" w:w="2041"/>
            <w:vAlign w:val="center"/>
            <w:shd w:val="clear" w:color="auto" w:fill="F2F2F2"/>
          </w:tcPr>
          <w:p>
            <w:pPr>
              <w:spacing w:after="0"/>
            </w:pPr>
            <w:r/>
            <w:r>
              <w:rPr>
                <w:b w:val="0"/>
                <w:sz w:val="19"/>
              </w:rPr>
              <w:t>Maintainability</w:t>
            </w:r>
          </w:p>
        </w:tc>
        <w:tc>
          <w:tcPr>
            <w:tcW w:type="dxa" w:w="7370"/>
            <w:vAlign w:val="center"/>
            <w:shd w:val="clear" w:color="auto" w:fill="F2F2F2"/>
          </w:tcPr>
          <w:p>
            <w:pPr>
              <w:spacing w:after="0"/>
            </w:pPr>
            <w:r/>
            <w:r>
              <w:rPr>
                <w:b w:val="0"/>
                <w:sz w:val="19"/>
              </w:rPr>
              <w:t>Automated test coverage ≥ 70% on core services; zero-downtime rolling deployments</w:t>
            </w:r>
          </w:p>
        </w:tc>
      </w:tr>
    </w:tbl>
    <w:p>
      <w:pPr>
        <w:spacing w:after="40"/>
      </w:pPr>
    </w:p>
    <w:p>
      <w:pPr>
        <w:pStyle w:val="Heading1"/>
      </w:pPr>
      <w:r>
        <w:t>13. Deployment Architecture</w:t>
      </w:r>
    </w:p>
    <w:p>
      <w:pPr>
        <w:pStyle w:val="Heading2"/>
      </w:pPr>
      <w:r>
        <w:t>13.1 Network Zones and Hosting</w:t>
      </w:r>
    </w:p>
    <w:p>
      <w:pPr>
        <w:keepNext/>
        <w:jc w:val="center"/>
      </w:pPr>
      <w:r>
        <w:drawing>
          <wp:inline xmlns:a="http://schemas.openxmlformats.org/drawingml/2006/main" xmlns:pic="http://schemas.openxmlformats.org/drawingml/2006/picture">
            <wp:extent cx="5976000" cy="4794080"/>
            <wp:docPr id="9" name="Picture 9"/>
            <wp:cNvGraphicFramePr>
              <a:graphicFrameLocks noChangeAspect="1"/>
            </wp:cNvGraphicFramePr>
            <a:graphic>
              <a:graphicData uri="http://schemas.openxmlformats.org/drawingml/2006/picture">
                <pic:pic>
                  <pic:nvPicPr>
                    <pic:cNvPr id="0" name="09_deployment.png"/>
                    <pic:cNvPicPr/>
                  </pic:nvPicPr>
                  <pic:blipFill>
                    <a:blip r:embed="rId19"/>
                    <a:stretch>
                      <a:fillRect/>
                    </a:stretch>
                  </pic:blipFill>
                  <pic:spPr>
                    <a:xfrm>
                      <a:off x="0" y="0"/>
                      <a:ext cx="5976000" cy="4794080"/>
                    </a:xfrm>
                    <a:prstGeom prst="rect"/>
                  </pic:spPr>
                </pic:pic>
              </a:graphicData>
            </a:graphic>
          </wp:inline>
        </w:drawing>
      </w:r>
    </w:p>
    <w:p>
      <w:pPr>
        <w:jc w:val="center"/>
      </w:pPr>
      <w:r>
        <w:rPr>
          <w:i/>
          <w:color w:val="595959"/>
          <w:sz w:val="18"/>
        </w:rPr>
        <w:t>Figure 9 – Deployment topology across primary and DR data centres</w:t>
      </w:r>
    </w:p>
    <w:p>
      <w:pPr>
        <w:pStyle w:val="ListBullet"/>
        <w:spacing w:after="40"/>
      </w:pPr>
      <w:r>
        <w:t>Active-passive deployment across TCB's primary data centre and DR site, with database replication and Kafka mirroring. The DMZ and stateless tiers can run active-active if TCB's network allows.</w:t>
      </w:r>
    </w:p>
    <w:p>
      <w:pPr>
        <w:pStyle w:val="ListBullet"/>
        <w:spacing w:after="40"/>
      </w:pPr>
      <w:r>
        <w:t>Container platform: Kubernetes (e.g. Red Hat OpenShift or RKE2), or TCB's existing standard, with GitOps (Argo CD) for declarative deployments.</w:t>
      </w:r>
    </w:p>
    <w:p>
      <w:pPr>
        <w:pStyle w:val="ListBullet"/>
        <w:spacing w:after="40"/>
      </w:pPr>
      <w:r>
        <w:t>Infrastructure as Code (Terraform/Ansible) produces environments that are consistent and auditable.</w:t>
      </w:r>
    </w:p>
    <w:p>
      <w:pPr>
        <w:spacing w:after="0"/>
      </w:pPr>
    </w:p>
    <w:p>
      <w:pPr>
        <w:pStyle w:val="Heading2"/>
      </w:pPr>
      <w:r>
        <w:t>13.2 Environments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1814"/>
        <w:gridCol w:w="5329"/>
        <w:gridCol w:w="2268"/>
      </w:tblGrid>
      <w:tr>
        <w:trPr>
          <w:tblHeader w:val="true"/>
        </w:trPr>
        <w:tc>
          <w:tcPr>
            <w:tcW w:type="dxa" w:w="1814"/>
            <w:vAlign w:val="center"/>
            <w:shd w:val="clear" w:color="auto" w:fill="1F3864"/>
          </w:tcPr>
          <w:p>
            <w:pPr>
              <w:spacing w:after="0"/>
            </w:pPr>
            <w:r/>
            <w:r>
              <w:rPr>
                <w:b/>
                <w:color w:val="FFFFFF"/>
                <w:sz w:val="19"/>
              </w:rPr>
              <w:t>Environment</w:t>
            </w:r>
          </w:p>
        </w:tc>
        <w:tc>
          <w:tcPr>
            <w:tcW w:type="dxa" w:w="5329"/>
            <w:vAlign w:val="center"/>
            <w:shd w:val="clear" w:color="auto" w:fill="1F3864"/>
          </w:tcPr>
          <w:p>
            <w:pPr>
              <w:spacing w:after="0"/>
            </w:pPr>
            <w:r/>
            <w:r>
              <w:rPr>
                <w:b/>
                <w:color w:val="FFFFFF"/>
                <w:sz w:val="19"/>
              </w:rPr>
              <w:t>Purpose</w:t>
            </w:r>
          </w:p>
        </w:tc>
        <w:tc>
          <w:tcPr>
            <w:tcW w:type="dxa" w:w="2268"/>
            <w:vAlign w:val="center"/>
            <w:shd w:val="clear" w:color="auto" w:fill="1F3864"/>
          </w:tcPr>
          <w:p>
            <w:pPr>
              <w:spacing w:after="0"/>
            </w:pPr>
            <w:r/>
            <w:r>
              <w:rPr>
                <w:b/>
                <w:color w:val="FFFFFF"/>
                <w:sz w:val="19"/>
              </w:rPr>
              <w:t>Data</w:t>
            </w:r>
          </w:p>
        </w:tc>
      </w:tr>
      <w:tr>
        <w:tc>
          <w:tcPr>
            <w:tcW w:type="dxa" w:w="1814"/>
            <w:vAlign w:val="center"/>
          </w:tcPr>
          <w:p>
            <w:pPr>
              <w:spacing w:after="0"/>
            </w:pPr>
            <w:r/>
            <w:r>
              <w:rPr>
                <w:b w:val="0"/>
                <w:sz w:val="19"/>
              </w:rPr>
              <w:t>DEV</w:t>
            </w:r>
          </w:p>
        </w:tc>
        <w:tc>
          <w:tcPr>
            <w:tcW w:type="dxa" w:w="5329"/>
            <w:vAlign w:val="center"/>
          </w:tcPr>
          <w:p>
            <w:pPr>
              <w:spacing w:after="0"/>
            </w:pPr>
            <w:r/>
            <w:r>
              <w:rPr>
                <w:b w:val="0"/>
                <w:sz w:val="19"/>
              </w:rPr>
              <w:t>Development and unit testing, with BoT/CBS simulators</w:t>
            </w:r>
          </w:p>
        </w:tc>
        <w:tc>
          <w:tcPr>
            <w:tcW w:type="dxa" w:w="2268"/>
            <w:vAlign w:val="center"/>
          </w:tcPr>
          <w:p>
            <w:pPr>
              <w:spacing w:after="0"/>
            </w:pPr>
            <w:r/>
            <w:r>
              <w:rPr>
                <w:b w:val="0"/>
                <w:sz w:val="19"/>
              </w:rPr>
              <w:t>Synthetic</w:t>
            </w:r>
          </w:p>
        </w:tc>
      </w:tr>
      <w:tr>
        <w:tc>
          <w:tcPr>
            <w:tcW w:type="dxa" w:w="1814"/>
            <w:vAlign w:val="center"/>
            <w:shd w:val="clear" w:color="auto" w:fill="F2F2F2"/>
          </w:tcPr>
          <w:p>
            <w:pPr>
              <w:spacing w:after="0"/>
            </w:pPr>
            <w:r/>
            <w:r>
              <w:rPr>
                <w:b w:val="0"/>
                <w:sz w:val="19"/>
              </w:rPr>
              <w:t>SIT</w:t>
            </w:r>
          </w:p>
        </w:tc>
        <w:tc>
          <w:tcPr>
            <w:tcW w:type="dxa" w:w="5329"/>
            <w:vAlign w:val="center"/>
            <w:shd w:val="clear" w:color="auto" w:fill="F2F2F2"/>
          </w:tcPr>
          <w:p>
            <w:pPr>
              <w:spacing w:after="0"/>
            </w:pPr>
            <w:r/>
            <w:r>
              <w:rPr>
                <w:b w:val="0"/>
                <w:sz w:val="19"/>
              </w:rPr>
              <w:t>System integration testing with TCB and BoT sandboxes</w:t>
            </w:r>
          </w:p>
        </w:tc>
        <w:tc>
          <w:tcPr>
            <w:tcW w:type="dxa" w:w="2268"/>
            <w:vAlign w:val="center"/>
            <w:shd w:val="clear" w:color="auto" w:fill="F2F2F2"/>
          </w:tcPr>
          <w:p>
            <w:pPr>
              <w:spacing w:after="0"/>
            </w:pPr>
            <w:r/>
            <w:r>
              <w:rPr>
                <w:b w:val="0"/>
                <w:sz w:val="19"/>
              </w:rPr>
              <w:t>Anonymised</w:t>
            </w:r>
          </w:p>
        </w:tc>
      </w:tr>
      <w:tr>
        <w:tc>
          <w:tcPr>
            <w:tcW w:type="dxa" w:w="1814"/>
            <w:vAlign w:val="center"/>
          </w:tcPr>
          <w:p>
            <w:pPr>
              <w:spacing w:after="0"/>
            </w:pPr>
            <w:r/>
            <w:r>
              <w:rPr>
                <w:b w:val="0"/>
                <w:sz w:val="19"/>
              </w:rPr>
              <w:t>UAT</w:t>
            </w:r>
          </w:p>
        </w:tc>
        <w:tc>
          <w:tcPr>
            <w:tcW w:type="dxa" w:w="5329"/>
            <w:vAlign w:val="center"/>
          </w:tcPr>
          <w:p>
            <w:pPr>
              <w:spacing w:after="0"/>
            </w:pPr>
            <w:r/>
            <w:r>
              <w:rPr>
                <w:b w:val="0"/>
                <w:sz w:val="19"/>
              </w:rPr>
              <w:t>Business acceptance by TCB and BoT users</w:t>
            </w:r>
          </w:p>
        </w:tc>
        <w:tc>
          <w:tcPr>
            <w:tcW w:type="dxa" w:w="2268"/>
            <w:vAlign w:val="center"/>
          </w:tcPr>
          <w:p>
            <w:pPr>
              <w:spacing w:after="0"/>
            </w:pPr>
            <w:r/>
            <w:r>
              <w:rPr>
                <w:b w:val="0"/>
                <w:sz w:val="19"/>
              </w:rPr>
              <w:t>Anonymised</w:t>
            </w:r>
          </w:p>
        </w:tc>
      </w:tr>
      <w:tr>
        <w:tc>
          <w:tcPr>
            <w:tcW w:type="dxa" w:w="1814"/>
            <w:vAlign w:val="center"/>
            <w:shd w:val="clear" w:color="auto" w:fill="F2F2F2"/>
          </w:tcPr>
          <w:p>
            <w:pPr>
              <w:spacing w:after="0"/>
            </w:pPr>
            <w:r/>
            <w:r>
              <w:rPr>
                <w:b w:val="0"/>
                <w:sz w:val="19"/>
              </w:rPr>
              <w:t>PRE-PROD</w:t>
            </w:r>
          </w:p>
        </w:tc>
        <w:tc>
          <w:tcPr>
            <w:tcW w:type="dxa" w:w="5329"/>
            <w:vAlign w:val="center"/>
            <w:shd w:val="clear" w:color="auto" w:fill="F2F2F2"/>
          </w:tcPr>
          <w:p>
            <w:pPr>
              <w:spacing w:after="0"/>
            </w:pPr>
            <w:r/>
            <w:r>
              <w:rPr>
                <w:b w:val="0"/>
                <w:sz w:val="19"/>
              </w:rPr>
              <w:t>Performance, security and DR rehearsals; production-like</w:t>
            </w:r>
          </w:p>
        </w:tc>
        <w:tc>
          <w:tcPr>
            <w:tcW w:type="dxa" w:w="2268"/>
            <w:vAlign w:val="center"/>
            <w:shd w:val="clear" w:color="auto" w:fill="F2F2F2"/>
          </w:tcPr>
          <w:p>
            <w:pPr>
              <w:spacing w:after="0"/>
            </w:pPr>
            <w:r/>
            <w:r>
              <w:rPr>
                <w:b w:val="0"/>
                <w:sz w:val="19"/>
              </w:rPr>
              <w:t>Anonymised</w:t>
            </w:r>
          </w:p>
        </w:tc>
      </w:tr>
      <w:tr>
        <w:tc>
          <w:tcPr>
            <w:tcW w:type="dxa" w:w="1814"/>
            <w:vAlign w:val="center"/>
          </w:tcPr>
          <w:p>
            <w:pPr>
              <w:spacing w:after="0"/>
            </w:pPr>
            <w:r/>
            <w:r>
              <w:rPr>
                <w:b w:val="0"/>
                <w:sz w:val="19"/>
              </w:rPr>
              <w:t>PROD / DR</w:t>
            </w:r>
          </w:p>
        </w:tc>
        <w:tc>
          <w:tcPr>
            <w:tcW w:type="dxa" w:w="5329"/>
            <w:vAlign w:val="center"/>
          </w:tcPr>
          <w:p>
            <w:pPr>
              <w:spacing w:after="0"/>
            </w:pPr>
            <w:r/>
            <w:r>
              <w:rPr>
                <w:b w:val="0"/>
                <w:sz w:val="19"/>
              </w:rPr>
              <w:t>Live service</w:t>
            </w:r>
          </w:p>
        </w:tc>
        <w:tc>
          <w:tcPr>
            <w:tcW w:type="dxa" w:w="2268"/>
            <w:vAlign w:val="center"/>
          </w:tcPr>
          <w:p>
            <w:pPr>
              <w:spacing w:after="0"/>
            </w:pPr>
            <w:r/>
            <w:r>
              <w:rPr>
                <w:b w:val="0"/>
                <w:sz w:val="19"/>
              </w:rPr>
              <w:t>Production</w:t>
            </w:r>
          </w:p>
        </w:tc>
      </w:tr>
    </w:tbl>
    <w:p>
      <w:pPr>
        <w:spacing w:after="40"/>
      </w:pPr>
    </w:p>
    <w:p>
      <w:pPr>
        <w:pStyle w:val="Heading2"/>
      </w:pPr>
      <w:r>
        <w:t>13.3 Indicative Infrastructure Sizing (Production, per site)</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3175"/>
        <w:gridCol w:w="1134"/>
        <w:gridCol w:w="2608"/>
        <w:gridCol w:w="2494"/>
      </w:tblGrid>
      <w:tr>
        <w:trPr>
          <w:tblHeader w:val="true"/>
        </w:trPr>
        <w:tc>
          <w:tcPr>
            <w:tcW w:type="dxa" w:w="3175"/>
            <w:vAlign w:val="center"/>
            <w:shd w:val="clear" w:color="auto" w:fill="1F3864"/>
          </w:tcPr>
          <w:p>
            <w:pPr>
              <w:spacing w:after="0"/>
            </w:pPr>
            <w:r/>
            <w:r>
              <w:rPr>
                <w:b/>
                <w:color w:val="FFFFFF"/>
                <w:sz w:val="19"/>
              </w:rPr>
              <w:t>Component</w:t>
            </w:r>
          </w:p>
        </w:tc>
        <w:tc>
          <w:tcPr>
            <w:tcW w:type="dxa" w:w="1134"/>
            <w:vAlign w:val="center"/>
            <w:shd w:val="clear" w:color="auto" w:fill="1F3864"/>
          </w:tcPr>
          <w:p>
            <w:pPr>
              <w:spacing w:after="0"/>
            </w:pPr>
            <w:r/>
            <w:r>
              <w:rPr>
                <w:b/>
                <w:color w:val="FFFFFF"/>
                <w:sz w:val="19"/>
              </w:rPr>
              <w:t>Nodes</w:t>
            </w:r>
          </w:p>
        </w:tc>
        <w:tc>
          <w:tcPr>
            <w:tcW w:type="dxa" w:w="2608"/>
            <w:vAlign w:val="center"/>
            <w:shd w:val="clear" w:color="auto" w:fill="1F3864"/>
          </w:tcPr>
          <w:p>
            <w:pPr>
              <w:spacing w:after="0"/>
            </w:pPr>
            <w:r/>
            <w:r>
              <w:rPr>
                <w:b/>
                <w:color w:val="FFFFFF"/>
                <w:sz w:val="19"/>
              </w:rPr>
              <w:t>vCPU / RAM per node</w:t>
            </w:r>
          </w:p>
        </w:tc>
        <w:tc>
          <w:tcPr>
            <w:tcW w:type="dxa" w:w="2494"/>
            <w:vAlign w:val="center"/>
            <w:shd w:val="clear" w:color="auto" w:fill="1F3864"/>
          </w:tcPr>
          <w:p>
            <w:pPr>
              <w:spacing w:after="0"/>
            </w:pPr>
            <w:r/>
            <w:r>
              <w:rPr>
                <w:b/>
                <w:color w:val="FFFFFF"/>
                <w:sz w:val="19"/>
              </w:rPr>
              <w:t>Storage</w:t>
            </w:r>
          </w:p>
        </w:tc>
      </w:tr>
      <w:tr>
        <w:tc>
          <w:tcPr>
            <w:tcW w:type="dxa" w:w="3175"/>
            <w:vAlign w:val="center"/>
          </w:tcPr>
          <w:p>
            <w:pPr>
              <w:spacing w:after="0"/>
            </w:pPr>
            <w:r/>
            <w:r>
              <w:rPr>
                <w:b w:val="0"/>
                <w:sz w:val="19"/>
              </w:rPr>
              <w:t>Kubernetes worker nodes</w:t>
            </w:r>
          </w:p>
        </w:tc>
        <w:tc>
          <w:tcPr>
            <w:tcW w:type="dxa" w:w="1134"/>
            <w:vAlign w:val="center"/>
          </w:tcPr>
          <w:p>
            <w:pPr>
              <w:spacing w:after="0"/>
            </w:pPr>
            <w:r/>
            <w:r>
              <w:rPr>
                <w:b w:val="0"/>
                <w:sz w:val="19"/>
              </w:rPr>
              <w:t>4</w:t>
            </w:r>
          </w:p>
        </w:tc>
        <w:tc>
          <w:tcPr>
            <w:tcW w:type="dxa" w:w="2608"/>
            <w:vAlign w:val="center"/>
          </w:tcPr>
          <w:p>
            <w:pPr>
              <w:spacing w:after="0"/>
            </w:pPr>
            <w:r/>
            <w:r>
              <w:rPr>
                <w:b w:val="0"/>
                <w:sz w:val="19"/>
              </w:rPr>
              <w:t>16 vCPU / 64 GB</w:t>
            </w:r>
          </w:p>
        </w:tc>
        <w:tc>
          <w:tcPr>
            <w:tcW w:type="dxa" w:w="2494"/>
            <w:vAlign w:val="center"/>
          </w:tcPr>
          <w:p>
            <w:pPr>
              <w:spacing w:after="0"/>
            </w:pPr>
            <w:r/>
            <w:r>
              <w:rPr>
                <w:b w:val="0"/>
                <w:sz w:val="19"/>
              </w:rPr>
              <w:t>200 GB</w:t>
            </w:r>
          </w:p>
        </w:tc>
      </w:tr>
      <w:tr>
        <w:tc>
          <w:tcPr>
            <w:tcW w:type="dxa" w:w="3175"/>
            <w:vAlign w:val="center"/>
            <w:shd w:val="clear" w:color="auto" w:fill="F2F2F2"/>
          </w:tcPr>
          <w:p>
            <w:pPr>
              <w:spacing w:after="0"/>
            </w:pPr>
            <w:r/>
            <w:r>
              <w:rPr>
                <w:b w:val="0"/>
                <w:sz w:val="19"/>
              </w:rPr>
              <w:t>Kubernetes control plane</w:t>
            </w:r>
          </w:p>
        </w:tc>
        <w:tc>
          <w:tcPr>
            <w:tcW w:type="dxa" w:w="1134"/>
            <w:vAlign w:val="center"/>
            <w:shd w:val="clear" w:color="auto" w:fill="F2F2F2"/>
          </w:tcPr>
          <w:p>
            <w:pPr>
              <w:spacing w:after="0"/>
            </w:pPr>
            <w:r/>
            <w:r>
              <w:rPr>
                <w:b w:val="0"/>
                <w:sz w:val="19"/>
              </w:rPr>
              <w:t>3</w:t>
            </w:r>
          </w:p>
        </w:tc>
        <w:tc>
          <w:tcPr>
            <w:tcW w:type="dxa" w:w="2608"/>
            <w:vAlign w:val="center"/>
            <w:shd w:val="clear" w:color="auto" w:fill="F2F2F2"/>
          </w:tcPr>
          <w:p>
            <w:pPr>
              <w:spacing w:after="0"/>
            </w:pPr>
            <w:r/>
            <w:r>
              <w:rPr>
                <w:b w:val="0"/>
                <w:sz w:val="19"/>
              </w:rPr>
              <w:t>4 vCPU / 16 GB</w:t>
            </w:r>
          </w:p>
        </w:tc>
        <w:tc>
          <w:tcPr>
            <w:tcW w:type="dxa" w:w="2494"/>
            <w:vAlign w:val="center"/>
            <w:shd w:val="clear" w:color="auto" w:fill="F2F2F2"/>
          </w:tcPr>
          <w:p>
            <w:pPr>
              <w:spacing w:after="0"/>
            </w:pPr>
            <w:r/>
            <w:r>
              <w:rPr>
                <w:b w:val="0"/>
                <w:sz w:val="19"/>
              </w:rPr>
              <w:t>100 GB</w:t>
            </w:r>
          </w:p>
        </w:tc>
      </w:tr>
      <w:tr>
        <w:tc>
          <w:tcPr>
            <w:tcW w:type="dxa" w:w="3175"/>
            <w:vAlign w:val="center"/>
          </w:tcPr>
          <w:p>
            <w:pPr>
              <w:spacing w:after="0"/>
            </w:pPr>
            <w:r/>
            <w:r>
              <w:rPr>
                <w:b w:val="0"/>
                <w:sz w:val="19"/>
              </w:rPr>
              <w:t>PostgreSQL (primary + replica)</w:t>
            </w:r>
          </w:p>
        </w:tc>
        <w:tc>
          <w:tcPr>
            <w:tcW w:type="dxa" w:w="1134"/>
            <w:vAlign w:val="center"/>
          </w:tcPr>
          <w:p>
            <w:pPr>
              <w:spacing w:after="0"/>
            </w:pPr>
            <w:r/>
            <w:r>
              <w:rPr>
                <w:b w:val="0"/>
                <w:sz w:val="19"/>
              </w:rPr>
              <w:t>2</w:t>
            </w:r>
          </w:p>
        </w:tc>
        <w:tc>
          <w:tcPr>
            <w:tcW w:type="dxa" w:w="2608"/>
            <w:vAlign w:val="center"/>
          </w:tcPr>
          <w:p>
            <w:pPr>
              <w:spacing w:after="0"/>
            </w:pPr>
            <w:r/>
            <w:r>
              <w:rPr>
                <w:b w:val="0"/>
                <w:sz w:val="19"/>
              </w:rPr>
              <w:t>16 vCPU / 64 GB</w:t>
            </w:r>
          </w:p>
        </w:tc>
        <w:tc>
          <w:tcPr>
            <w:tcW w:type="dxa" w:w="2494"/>
            <w:vAlign w:val="center"/>
          </w:tcPr>
          <w:p>
            <w:pPr>
              <w:spacing w:after="0"/>
            </w:pPr>
            <w:r/>
            <w:r>
              <w:rPr>
                <w:b w:val="0"/>
                <w:sz w:val="19"/>
              </w:rPr>
              <w:t>2 TB SSD</w:t>
            </w:r>
          </w:p>
        </w:tc>
      </w:tr>
      <w:tr>
        <w:tc>
          <w:tcPr>
            <w:tcW w:type="dxa" w:w="3175"/>
            <w:vAlign w:val="center"/>
            <w:shd w:val="clear" w:color="auto" w:fill="F2F2F2"/>
          </w:tcPr>
          <w:p>
            <w:pPr>
              <w:spacing w:after="0"/>
            </w:pPr>
            <w:r/>
            <w:r>
              <w:rPr>
                <w:b w:val="0"/>
                <w:sz w:val="19"/>
              </w:rPr>
              <w:t>Kafka brokers</w:t>
            </w:r>
          </w:p>
        </w:tc>
        <w:tc>
          <w:tcPr>
            <w:tcW w:type="dxa" w:w="1134"/>
            <w:vAlign w:val="center"/>
            <w:shd w:val="clear" w:color="auto" w:fill="F2F2F2"/>
          </w:tcPr>
          <w:p>
            <w:pPr>
              <w:spacing w:after="0"/>
            </w:pPr>
            <w:r/>
            <w:r>
              <w:rPr>
                <w:b w:val="0"/>
                <w:sz w:val="19"/>
              </w:rPr>
              <w:t>3</w:t>
            </w:r>
          </w:p>
        </w:tc>
        <w:tc>
          <w:tcPr>
            <w:tcW w:type="dxa" w:w="2608"/>
            <w:vAlign w:val="center"/>
            <w:shd w:val="clear" w:color="auto" w:fill="F2F2F2"/>
          </w:tcPr>
          <w:p>
            <w:pPr>
              <w:spacing w:after="0"/>
            </w:pPr>
            <w:r/>
            <w:r>
              <w:rPr>
                <w:b w:val="0"/>
                <w:sz w:val="19"/>
              </w:rPr>
              <w:t>8 vCPU / 32 GB</w:t>
            </w:r>
          </w:p>
        </w:tc>
        <w:tc>
          <w:tcPr>
            <w:tcW w:type="dxa" w:w="2494"/>
            <w:vAlign w:val="center"/>
            <w:shd w:val="clear" w:color="auto" w:fill="F2F2F2"/>
          </w:tcPr>
          <w:p>
            <w:pPr>
              <w:spacing w:after="0"/>
            </w:pPr>
            <w:r/>
            <w:r>
              <w:rPr>
                <w:b w:val="0"/>
                <w:sz w:val="19"/>
              </w:rPr>
              <w:t>1 TB SSD</w:t>
            </w:r>
          </w:p>
        </w:tc>
      </w:tr>
      <w:tr>
        <w:tc>
          <w:tcPr>
            <w:tcW w:type="dxa" w:w="3175"/>
            <w:vAlign w:val="center"/>
          </w:tcPr>
          <w:p>
            <w:pPr>
              <w:spacing w:after="0"/>
            </w:pPr>
            <w:r/>
            <w:r>
              <w:rPr>
                <w:b w:val="0"/>
                <w:sz w:val="19"/>
              </w:rPr>
              <w:t>Object storage</w:t>
            </w:r>
          </w:p>
        </w:tc>
        <w:tc>
          <w:tcPr>
            <w:tcW w:type="dxa" w:w="1134"/>
            <w:vAlign w:val="center"/>
          </w:tcPr>
          <w:p>
            <w:pPr>
              <w:spacing w:after="0"/>
            </w:pPr>
            <w:r/>
            <w:r>
              <w:rPr>
                <w:b w:val="0"/>
                <w:sz w:val="19"/>
              </w:rPr>
              <w:t>3</w:t>
            </w:r>
          </w:p>
        </w:tc>
        <w:tc>
          <w:tcPr>
            <w:tcW w:type="dxa" w:w="2608"/>
            <w:vAlign w:val="center"/>
          </w:tcPr>
          <w:p>
            <w:pPr>
              <w:spacing w:after="0"/>
            </w:pPr>
            <w:r/>
            <w:r>
              <w:rPr>
                <w:b w:val="0"/>
                <w:sz w:val="19"/>
              </w:rPr>
              <w:t>4 vCPU / 16 GB</w:t>
            </w:r>
          </w:p>
        </w:tc>
        <w:tc>
          <w:tcPr>
            <w:tcW w:type="dxa" w:w="2494"/>
            <w:vAlign w:val="center"/>
          </w:tcPr>
          <w:p>
            <w:pPr>
              <w:spacing w:after="0"/>
            </w:pPr>
            <w:r/>
            <w:r>
              <w:rPr>
                <w:b w:val="0"/>
                <w:sz w:val="19"/>
              </w:rPr>
              <w:t>4 TB</w:t>
            </w:r>
          </w:p>
        </w:tc>
      </w:tr>
      <w:tr>
        <w:tc>
          <w:tcPr>
            <w:tcW w:type="dxa" w:w="3175"/>
            <w:vAlign w:val="center"/>
            <w:shd w:val="clear" w:color="auto" w:fill="F2F2F2"/>
          </w:tcPr>
          <w:p>
            <w:pPr>
              <w:spacing w:after="0"/>
            </w:pPr>
            <w:r/>
            <w:r>
              <w:rPr>
                <w:b w:val="0"/>
                <w:sz w:val="19"/>
              </w:rPr>
              <w:t>DWH / Reporting</w:t>
            </w:r>
          </w:p>
        </w:tc>
        <w:tc>
          <w:tcPr>
            <w:tcW w:type="dxa" w:w="1134"/>
            <w:vAlign w:val="center"/>
            <w:shd w:val="clear" w:color="auto" w:fill="F2F2F2"/>
          </w:tcPr>
          <w:p>
            <w:pPr>
              <w:spacing w:after="0"/>
            </w:pPr>
            <w:r/>
            <w:r>
              <w:rPr>
                <w:b w:val="0"/>
                <w:sz w:val="19"/>
              </w:rPr>
              <w:t>1</w:t>
            </w:r>
          </w:p>
        </w:tc>
        <w:tc>
          <w:tcPr>
            <w:tcW w:type="dxa" w:w="2608"/>
            <w:vAlign w:val="center"/>
            <w:shd w:val="clear" w:color="auto" w:fill="F2F2F2"/>
          </w:tcPr>
          <w:p>
            <w:pPr>
              <w:spacing w:after="0"/>
            </w:pPr>
            <w:r/>
            <w:r>
              <w:rPr>
                <w:b w:val="0"/>
                <w:sz w:val="19"/>
              </w:rPr>
              <w:t>16 vCPU / 64 GB</w:t>
            </w:r>
          </w:p>
        </w:tc>
        <w:tc>
          <w:tcPr>
            <w:tcW w:type="dxa" w:w="2494"/>
            <w:vAlign w:val="center"/>
            <w:shd w:val="clear" w:color="auto" w:fill="F2F2F2"/>
          </w:tcPr>
          <w:p>
            <w:pPr>
              <w:spacing w:after="0"/>
            </w:pPr>
            <w:r/>
            <w:r>
              <w:rPr>
                <w:b w:val="0"/>
                <w:sz w:val="19"/>
              </w:rPr>
              <w:t>2 TB</w:t>
            </w:r>
          </w:p>
        </w:tc>
      </w:tr>
    </w:tbl>
    <w:p>
      <w:pPr>
        <w:spacing w:after="40"/>
      </w:pPr>
    </w:p>
    <w:p>
      <w:r>
        <w:rPr>
          <w:i/>
        </w:rPr>
        <w:t>Final sizing will be validated through performance testing in pre-production.</w:t>
      </w:r>
    </w:p>
    <w:p>
      <w:pPr>
        <w:pStyle w:val="Heading1"/>
      </w:pPr>
      <w:r>
        <w:t>14. Technology Stack</w:t>
      </w:r>
    </w:p>
    <w:p>
      <w:r>
        <w:rPr>
          <w:i w:val="0"/>
        </w:rPr>
        <w:t>Where TCB already has a standard product (for example an API gateway, IAM, database or SIEM), the platform uses it to reduce licensing and support overhead (open issue OI-06).</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041"/>
        <w:gridCol w:w="3855"/>
        <w:gridCol w:w="3515"/>
      </w:tblGrid>
      <w:tr>
        <w:trPr>
          <w:tblHeader w:val="true"/>
        </w:trPr>
        <w:tc>
          <w:tcPr>
            <w:tcW w:type="dxa" w:w="2041"/>
            <w:vAlign w:val="center"/>
            <w:shd w:val="clear" w:color="auto" w:fill="1F3864"/>
          </w:tcPr>
          <w:p>
            <w:pPr>
              <w:spacing w:after="0"/>
            </w:pPr>
            <w:r/>
            <w:r>
              <w:rPr>
                <w:b/>
                <w:color w:val="FFFFFF"/>
                <w:sz w:val="19"/>
              </w:rPr>
              <w:t>Layer</w:t>
            </w:r>
          </w:p>
        </w:tc>
        <w:tc>
          <w:tcPr>
            <w:tcW w:type="dxa" w:w="3855"/>
            <w:vAlign w:val="center"/>
            <w:shd w:val="clear" w:color="auto" w:fill="1F3864"/>
          </w:tcPr>
          <w:p>
            <w:pPr>
              <w:spacing w:after="0"/>
            </w:pPr>
            <w:r/>
            <w:r>
              <w:rPr>
                <w:b/>
                <w:color w:val="FFFFFF"/>
                <w:sz w:val="19"/>
              </w:rPr>
              <w:t>Proposed technology</w:t>
            </w:r>
          </w:p>
        </w:tc>
        <w:tc>
          <w:tcPr>
            <w:tcW w:type="dxa" w:w="3515"/>
            <w:vAlign w:val="center"/>
            <w:shd w:val="clear" w:color="auto" w:fill="1F3864"/>
          </w:tcPr>
          <w:p>
            <w:pPr>
              <w:spacing w:after="0"/>
            </w:pPr>
            <w:r/>
            <w:r>
              <w:rPr>
                <w:b/>
                <w:color w:val="FFFFFF"/>
                <w:sz w:val="19"/>
              </w:rPr>
              <w:t>Alternatives / TCB standard</w:t>
            </w:r>
          </w:p>
        </w:tc>
      </w:tr>
      <w:tr>
        <w:tc>
          <w:tcPr>
            <w:tcW w:type="dxa" w:w="2041"/>
            <w:vAlign w:val="center"/>
          </w:tcPr>
          <w:p>
            <w:pPr>
              <w:spacing w:after="0"/>
            </w:pPr>
            <w:r/>
            <w:r>
              <w:rPr>
                <w:b w:val="0"/>
                <w:sz w:val="19"/>
              </w:rPr>
              <w:t>Core services</w:t>
            </w:r>
          </w:p>
        </w:tc>
        <w:tc>
          <w:tcPr>
            <w:tcW w:type="dxa" w:w="3855"/>
            <w:vAlign w:val="center"/>
          </w:tcPr>
          <w:p>
            <w:pPr>
              <w:spacing w:after="0"/>
            </w:pPr>
            <w:r/>
            <w:r>
              <w:rPr>
                <w:b w:val="0"/>
                <w:sz w:val="19"/>
              </w:rPr>
              <w:t>Java 21 / Spring Boot (microservices)</w:t>
            </w:r>
          </w:p>
        </w:tc>
        <w:tc>
          <w:tcPr>
            <w:tcW w:type="dxa" w:w="3515"/>
            <w:vAlign w:val="center"/>
          </w:tcPr>
          <w:p>
            <w:pPr>
              <w:spacing w:after="0"/>
            </w:pPr>
            <w:r/>
            <w:r>
              <w:rPr>
                <w:b w:val="0"/>
                <w:sz w:val="19"/>
              </w:rPr>
              <w:t>.NET 8</w:t>
            </w:r>
          </w:p>
        </w:tc>
      </w:tr>
      <w:tr>
        <w:tc>
          <w:tcPr>
            <w:tcW w:type="dxa" w:w="2041"/>
            <w:vAlign w:val="center"/>
            <w:shd w:val="clear" w:color="auto" w:fill="F2F2F2"/>
          </w:tcPr>
          <w:p>
            <w:pPr>
              <w:spacing w:after="0"/>
            </w:pPr>
            <w:r/>
            <w:r>
              <w:rPr>
                <w:b w:val="0"/>
                <w:sz w:val="19"/>
              </w:rPr>
              <w:t>Web portals</w:t>
            </w:r>
          </w:p>
        </w:tc>
        <w:tc>
          <w:tcPr>
            <w:tcW w:type="dxa" w:w="3855"/>
            <w:vAlign w:val="center"/>
            <w:shd w:val="clear" w:color="auto" w:fill="F2F2F2"/>
          </w:tcPr>
          <w:p>
            <w:pPr>
              <w:spacing w:after="0"/>
            </w:pPr>
            <w:r/>
            <w:r>
              <w:rPr>
                <w:b w:val="0"/>
                <w:sz w:val="19"/>
              </w:rPr>
              <w:t>React + TypeScript</w:t>
            </w:r>
          </w:p>
        </w:tc>
        <w:tc>
          <w:tcPr>
            <w:tcW w:type="dxa" w:w="3515"/>
            <w:vAlign w:val="center"/>
            <w:shd w:val="clear" w:color="auto" w:fill="F2F2F2"/>
          </w:tcPr>
          <w:p>
            <w:pPr>
              <w:spacing w:after="0"/>
            </w:pPr>
            <w:r/>
            <w:r>
              <w:rPr>
                <w:b w:val="0"/>
                <w:sz w:val="19"/>
              </w:rPr>
              <w:t>Angular</w:t>
            </w:r>
          </w:p>
        </w:tc>
      </w:tr>
      <w:tr>
        <w:tc>
          <w:tcPr>
            <w:tcW w:type="dxa" w:w="2041"/>
            <w:vAlign w:val="center"/>
          </w:tcPr>
          <w:p>
            <w:pPr>
              <w:spacing w:after="0"/>
            </w:pPr>
            <w:r/>
            <w:r>
              <w:rPr>
                <w:b w:val="0"/>
                <w:sz w:val="19"/>
              </w:rPr>
              <w:t>Mobile app</w:t>
            </w:r>
          </w:p>
        </w:tc>
        <w:tc>
          <w:tcPr>
            <w:tcW w:type="dxa" w:w="3855"/>
            <w:vAlign w:val="center"/>
          </w:tcPr>
          <w:p>
            <w:pPr>
              <w:spacing w:after="0"/>
            </w:pPr>
            <w:r/>
            <w:r>
              <w:rPr>
                <w:b w:val="0"/>
                <w:sz w:val="19"/>
              </w:rPr>
              <w:t>Flutter</w:t>
            </w:r>
          </w:p>
        </w:tc>
        <w:tc>
          <w:tcPr>
            <w:tcW w:type="dxa" w:w="3515"/>
            <w:vAlign w:val="center"/>
          </w:tcPr>
          <w:p>
            <w:pPr>
              <w:spacing w:after="0"/>
            </w:pPr>
            <w:r/>
            <w:r>
              <w:rPr>
                <w:b w:val="0"/>
                <w:sz w:val="19"/>
              </w:rPr>
              <w:t>React Native; native Kotlin/Swift</w:t>
            </w:r>
          </w:p>
        </w:tc>
      </w:tr>
      <w:tr>
        <w:tc>
          <w:tcPr>
            <w:tcW w:type="dxa" w:w="2041"/>
            <w:vAlign w:val="center"/>
            <w:shd w:val="clear" w:color="auto" w:fill="F2F2F2"/>
          </w:tcPr>
          <w:p>
            <w:pPr>
              <w:spacing w:after="0"/>
            </w:pPr>
            <w:r/>
            <w:r>
              <w:rPr>
                <w:b w:val="0"/>
                <w:sz w:val="19"/>
              </w:rPr>
              <w:t>USSD</w:t>
            </w:r>
          </w:p>
        </w:tc>
        <w:tc>
          <w:tcPr>
            <w:tcW w:type="dxa" w:w="3855"/>
            <w:vAlign w:val="center"/>
            <w:shd w:val="clear" w:color="auto" w:fill="F2F2F2"/>
          </w:tcPr>
          <w:p>
            <w:pPr>
              <w:spacing w:after="0"/>
            </w:pPr>
            <w:r/>
            <w:r>
              <w:rPr>
                <w:b w:val="0"/>
                <w:sz w:val="19"/>
              </w:rPr>
              <w:t>Custom USSD BFF (Spring) + Redis session store</w:t>
            </w:r>
          </w:p>
        </w:tc>
        <w:tc>
          <w:tcPr>
            <w:tcW w:type="dxa" w:w="3515"/>
            <w:vAlign w:val="center"/>
            <w:shd w:val="clear" w:color="auto" w:fill="F2F2F2"/>
          </w:tcPr>
          <w:p>
            <w:pPr>
              <w:spacing w:after="0"/>
            </w:pPr>
            <w:r/>
            <w:r>
              <w:rPr>
                <w:b w:val="0"/>
                <w:sz w:val="19"/>
              </w:rPr>
              <w:t>Aggregator-hosted menu engine</w:t>
            </w:r>
          </w:p>
        </w:tc>
      </w:tr>
      <w:tr>
        <w:tc>
          <w:tcPr>
            <w:tcW w:type="dxa" w:w="2041"/>
            <w:vAlign w:val="center"/>
          </w:tcPr>
          <w:p>
            <w:pPr>
              <w:spacing w:after="0"/>
            </w:pPr>
            <w:r/>
            <w:r>
              <w:rPr>
                <w:b w:val="0"/>
                <w:sz w:val="19"/>
              </w:rPr>
              <w:t>Chatbot</w:t>
            </w:r>
          </w:p>
        </w:tc>
        <w:tc>
          <w:tcPr>
            <w:tcW w:type="dxa" w:w="3855"/>
            <w:vAlign w:val="center"/>
          </w:tcPr>
          <w:p>
            <w:pPr>
              <w:spacing w:after="0"/>
            </w:pPr>
            <w:r/>
            <w:r>
              <w:rPr>
                <w:b w:val="0"/>
                <w:sz w:val="19"/>
              </w:rPr>
              <w:t>Rasa (on-premise NLU) + WhatsApp Business Platform</w:t>
            </w:r>
          </w:p>
        </w:tc>
        <w:tc>
          <w:tcPr>
            <w:tcW w:type="dxa" w:w="3515"/>
            <w:vAlign w:val="center"/>
          </w:tcPr>
          <w:p>
            <w:pPr>
              <w:spacing w:after="0"/>
            </w:pPr>
            <w:r/>
            <w:r>
              <w:rPr>
                <w:b w:val="0"/>
                <w:sz w:val="19"/>
              </w:rPr>
              <w:t>Microsoft Bot Framework</w:t>
            </w:r>
          </w:p>
        </w:tc>
      </w:tr>
      <w:tr>
        <w:tc>
          <w:tcPr>
            <w:tcW w:type="dxa" w:w="2041"/>
            <w:vAlign w:val="center"/>
            <w:shd w:val="clear" w:color="auto" w:fill="F2F2F2"/>
          </w:tcPr>
          <w:p>
            <w:pPr>
              <w:spacing w:after="0"/>
            </w:pPr>
            <w:r/>
            <w:r>
              <w:rPr>
                <w:b w:val="0"/>
                <w:sz w:val="19"/>
              </w:rPr>
              <w:t>Workflow / rules</w:t>
            </w:r>
          </w:p>
        </w:tc>
        <w:tc>
          <w:tcPr>
            <w:tcW w:type="dxa" w:w="3855"/>
            <w:vAlign w:val="center"/>
            <w:shd w:val="clear" w:color="auto" w:fill="F2F2F2"/>
          </w:tcPr>
          <w:p>
            <w:pPr>
              <w:spacing w:after="0"/>
            </w:pPr>
            <w:r/>
            <w:r>
              <w:rPr>
                <w:b w:val="0"/>
                <w:sz w:val="19"/>
              </w:rPr>
              <w:t>Camunda 8 (BPMN/DMN)</w:t>
            </w:r>
          </w:p>
        </w:tc>
        <w:tc>
          <w:tcPr>
            <w:tcW w:type="dxa" w:w="3515"/>
            <w:vAlign w:val="center"/>
            <w:shd w:val="clear" w:color="auto" w:fill="F2F2F2"/>
          </w:tcPr>
          <w:p>
            <w:pPr>
              <w:spacing w:after="0"/>
            </w:pPr>
            <w:r/>
            <w:r>
              <w:rPr>
                <w:b w:val="0"/>
                <w:sz w:val="19"/>
              </w:rPr>
              <w:t>Flowable, Drools</w:t>
            </w:r>
          </w:p>
        </w:tc>
      </w:tr>
      <w:tr>
        <w:tc>
          <w:tcPr>
            <w:tcW w:type="dxa" w:w="2041"/>
            <w:vAlign w:val="center"/>
          </w:tcPr>
          <w:p>
            <w:pPr>
              <w:spacing w:after="0"/>
            </w:pPr>
            <w:r/>
            <w:r>
              <w:rPr>
                <w:b w:val="0"/>
                <w:sz w:val="19"/>
              </w:rPr>
              <w:t>API gateway</w:t>
            </w:r>
          </w:p>
        </w:tc>
        <w:tc>
          <w:tcPr>
            <w:tcW w:type="dxa" w:w="3855"/>
            <w:vAlign w:val="center"/>
          </w:tcPr>
          <w:p>
            <w:pPr>
              <w:spacing w:after="0"/>
            </w:pPr>
            <w:r/>
            <w:r>
              <w:rPr>
                <w:b w:val="0"/>
                <w:sz w:val="19"/>
              </w:rPr>
              <w:t>Kong / WSO2</w:t>
            </w:r>
          </w:p>
        </w:tc>
        <w:tc>
          <w:tcPr>
            <w:tcW w:type="dxa" w:w="3515"/>
            <w:vAlign w:val="center"/>
          </w:tcPr>
          <w:p>
            <w:pPr>
              <w:spacing w:after="0"/>
            </w:pPr>
            <w:r/>
            <w:r>
              <w:rPr>
                <w:b w:val="0"/>
                <w:sz w:val="19"/>
              </w:rPr>
              <w:t>TCB existing gateway</w:t>
            </w:r>
          </w:p>
        </w:tc>
      </w:tr>
      <w:tr>
        <w:tc>
          <w:tcPr>
            <w:tcW w:type="dxa" w:w="2041"/>
            <w:vAlign w:val="center"/>
            <w:shd w:val="clear" w:color="auto" w:fill="F2F2F2"/>
          </w:tcPr>
          <w:p>
            <w:pPr>
              <w:spacing w:after="0"/>
            </w:pPr>
            <w:r/>
            <w:r>
              <w:rPr>
                <w:b w:val="0"/>
                <w:sz w:val="19"/>
              </w:rPr>
              <w:t>Identity</w:t>
            </w:r>
          </w:p>
        </w:tc>
        <w:tc>
          <w:tcPr>
            <w:tcW w:type="dxa" w:w="3855"/>
            <w:vAlign w:val="center"/>
            <w:shd w:val="clear" w:color="auto" w:fill="F2F2F2"/>
          </w:tcPr>
          <w:p>
            <w:pPr>
              <w:spacing w:after="0"/>
            </w:pPr>
            <w:r/>
            <w:r>
              <w:rPr>
                <w:b w:val="0"/>
                <w:sz w:val="19"/>
              </w:rPr>
              <w:t>Keycloak (OIDC)</w:t>
            </w:r>
          </w:p>
        </w:tc>
        <w:tc>
          <w:tcPr>
            <w:tcW w:type="dxa" w:w="3515"/>
            <w:vAlign w:val="center"/>
            <w:shd w:val="clear" w:color="auto" w:fill="F2F2F2"/>
          </w:tcPr>
          <w:p>
            <w:pPr>
              <w:spacing w:after="0"/>
            </w:pPr>
            <w:r/>
            <w:r>
              <w:rPr>
                <w:b w:val="0"/>
                <w:sz w:val="19"/>
              </w:rPr>
              <w:t>TCB IAM / Azure AD for staff</w:t>
            </w:r>
          </w:p>
        </w:tc>
      </w:tr>
      <w:tr>
        <w:tc>
          <w:tcPr>
            <w:tcW w:type="dxa" w:w="2041"/>
            <w:vAlign w:val="center"/>
          </w:tcPr>
          <w:p>
            <w:pPr>
              <w:spacing w:after="0"/>
            </w:pPr>
            <w:r/>
            <w:r>
              <w:rPr>
                <w:b w:val="0"/>
                <w:sz w:val="19"/>
              </w:rPr>
              <w:t>Messaging</w:t>
            </w:r>
          </w:p>
        </w:tc>
        <w:tc>
          <w:tcPr>
            <w:tcW w:type="dxa" w:w="3855"/>
            <w:vAlign w:val="center"/>
          </w:tcPr>
          <w:p>
            <w:pPr>
              <w:spacing w:after="0"/>
            </w:pPr>
            <w:r/>
            <w:r>
              <w:rPr>
                <w:b w:val="0"/>
                <w:sz w:val="19"/>
              </w:rPr>
              <w:t>Apache Kafka</w:t>
            </w:r>
          </w:p>
        </w:tc>
        <w:tc>
          <w:tcPr>
            <w:tcW w:type="dxa" w:w="3515"/>
            <w:vAlign w:val="center"/>
          </w:tcPr>
          <w:p>
            <w:pPr>
              <w:spacing w:after="0"/>
            </w:pPr>
            <w:r/>
            <w:r>
              <w:rPr>
                <w:b w:val="0"/>
                <w:sz w:val="19"/>
              </w:rPr>
              <w:t>RabbitMQ, IBM MQ</w:t>
            </w:r>
          </w:p>
        </w:tc>
      </w:tr>
      <w:tr>
        <w:tc>
          <w:tcPr>
            <w:tcW w:type="dxa" w:w="2041"/>
            <w:vAlign w:val="center"/>
            <w:shd w:val="clear" w:color="auto" w:fill="F2F2F2"/>
          </w:tcPr>
          <w:p>
            <w:pPr>
              <w:spacing w:after="0"/>
            </w:pPr>
            <w:r/>
            <w:r>
              <w:rPr>
                <w:b w:val="0"/>
                <w:sz w:val="19"/>
              </w:rPr>
              <w:t>Databases</w:t>
            </w:r>
          </w:p>
        </w:tc>
        <w:tc>
          <w:tcPr>
            <w:tcW w:type="dxa" w:w="3855"/>
            <w:vAlign w:val="center"/>
            <w:shd w:val="clear" w:color="auto" w:fill="F2F2F2"/>
          </w:tcPr>
          <w:p>
            <w:pPr>
              <w:spacing w:after="0"/>
            </w:pPr>
            <w:r/>
            <w:r>
              <w:rPr>
                <w:b w:val="0"/>
                <w:sz w:val="19"/>
              </w:rPr>
              <w:t>PostgreSQL 16, Redis</w:t>
            </w:r>
          </w:p>
        </w:tc>
        <w:tc>
          <w:tcPr>
            <w:tcW w:type="dxa" w:w="3515"/>
            <w:vAlign w:val="center"/>
            <w:shd w:val="clear" w:color="auto" w:fill="F2F2F2"/>
          </w:tcPr>
          <w:p>
            <w:pPr>
              <w:spacing w:after="0"/>
            </w:pPr>
            <w:r/>
            <w:r>
              <w:rPr>
                <w:b w:val="0"/>
                <w:sz w:val="19"/>
              </w:rPr>
              <w:t>Oracle (TCB standard)</w:t>
            </w:r>
          </w:p>
        </w:tc>
      </w:tr>
      <w:tr>
        <w:tc>
          <w:tcPr>
            <w:tcW w:type="dxa" w:w="2041"/>
            <w:vAlign w:val="center"/>
          </w:tcPr>
          <w:p>
            <w:pPr>
              <w:spacing w:after="0"/>
            </w:pPr>
            <w:r/>
            <w:r>
              <w:rPr>
                <w:b w:val="0"/>
                <w:sz w:val="19"/>
              </w:rPr>
              <w:t>Analytics</w:t>
            </w:r>
          </w:p>
        </w:tc>
        <w:tc>
          <w:tcPr>
            <w:tcW w:type="dxa" w:w="3855"/>
            <w:vAlign w:val="center"/>
          </w:tcPr>
          <w:p>
            <w:pPr>
              <w:spacing w:after="0"/>
            </w:pPr>
            <w:r/>
            <w:r>
              <w:rPr>
                <w:b w:val="0"/>
                <w:sz w:val="19"/>
              </w:rPr>
              <w:t>PostgreSQL DWH + Apache Superset / Power BI</w:t>
            </w:r>
          </w:p>
        </w:tc>
        <w:tc>
          <w:tcPr>
            <w:tcW w:type="dxa" w:w="3515"/>
            <w:vAlign w:val="center"/>
          </w:tcPr>
          <w:p>
            <w:pPr>
              <w:spacing w:after="0"/>
            </w:pPr>
            <w:r/>
            <w:r>
              <w:rPr>
                <w:b w:val="0"/>
                <w:sz w:val="19"/>
              </w:rPr>
              <w:t>TCB DWH platform</w:t>
            </w:r>
          </w:p>
        </w:tc>
      </w:tr>
      <w:tr>
        <w:tc>
          <w:tcPr>
            <w:tcW w:type="dxa" w:w="2041"/>
            <w:vAlign w:val="center"/>
            <w:shd w:val="clear" w:color="auto" w:fill="F2F2F2"/>
          </w:tcPr>
          <w:p>
            <w:pPr>
              <w:spacing w:after="0"/>
            </w:pPr>
            <w:r/>
            <w:r>
              <w:rPr>
                <w:b w:val="0"/>
                <w:sz w:val="19"/>
              </w:rPr>
              <w:t>Observability</w:t>
            </w:r>
          </w:p>
        </w:tc>
        <w:tc>
          <w:tcPr>
            <w:tcW w:type="dxa" w:w="3855"/>
            <w:vAlign w:val="center"/>
            <w:shd w:val="clear" w:color="auto" w:fill="F2F2F2"/>
          </w:tcPr>
          <w:p>
            <w:pPr>
              <w:spacing w:after="0"/>
            </w:pPr>
            <w:r/>
            <w:r>
              <w:rPr>
                <w:b w:val="0"/>
                <w:sz w:val="19"/>
              </w:rPr>
              <w:t>OpenTelemetry, Prometheus, Grafana, ELK/OpenSearch</w:t>
            </w:r>
          </w:p>
        </w:tc>
        <w:tc>
          <w:tcPr>
            <w:tcW w:type="dxa" w:w="3515"/>
            <w:vAlign w:val="center"/>
            <w:shd w:val="clear" w:color="auto" w:fill="F2F2F2"/>
          </w:tcPr>
          <w:p>
            <w:pPr>
              <w:spacing w:after="0"/>
            </w:pPr>
            <w:r/>
            <w:r>
              <w:rPr>
                <w:b w:val="0"/>
                <w:sz w:val="19"/>
              </w:rPr>
              <w:t>TCB monitoring tools</w:t>
            </w:r>
          </w:p>
        </w:tc>
      </w:tr>
      <w:tr>
        <w:tc>
          <w:tcPr>
            <w:tcW w:type="dxa" w:w="2041"/>
            <w:vAlign w:val="center"/>
          </w:tcPr>
          <w:p>
            <w:pPr>
              <w:spacing w:after="0"/>
            </w:pPr>
            <w:r/>
            <w:r>
              <w:rPr>
                <w:b w:val="0"/>
                <w:sz w:val="19"/>
              </w:rPr>
              <w:t>Security tooling</w:t>
            </w:r>
          </w:p>
        </w:tc>
        <w:tc>
          <w:tcPr>
            <w:tcW w:type="dxa" w:w="3855"/>
            <w:vAlign w:val="center"/>
          </w:tcPr>
          <w:p>
            <w:pPr>
              <w:spacing w:after="0"/>
            </w:pPr>
            <w:r/>
            <w:r>
              <w:rPr>
                <w:b w:val="0"/>
                <w:sz w:val="19"/>
              </w:rPr>
              <w:t>HashiCorp Vault + HSM, SonarQube, OWASP ZAP, Trivy</w:t>
            </w:r>
          </w:p>
        </w:tc>
        <w:tc>
          <w:tcPr>
            <w:tcW w:type="dxa" w:w="3515"/>
            <w:vAlign w:val="center"/>
          </w:tcPr>
          <w:p>
            <w:pPr>
              <w:spacing w:after="0"/>
            </w:pPr>
            <w:r/>
            <w:r>
              <w:rPr>
                <w:b w:val="0"/>
                <w:sz w:val="19"/>
              </w:rPr>
              <w:t>TCB security stack</w:t>
            </w:r>
          </w:p>
        </w:tc>
      </w:tr>
      <w:tr>
        <w:tc>
          <w:tcPr>
            <w:tcW w:type="dxa" w:w="2041"/>
            <w:vAlign w:val="center"/>
            <w:shd w:val="clear" w:color="auto" w:fill="F2F2F2"/>
          </w:tcPr>
          <w:p>
            <w:pPr>
              <w:spacing w:after="0"/>
            </w:pPr>
            <w:r/>
            <w:r>
              <w:rPr>
                <w:b w:val="0"/>
                <w:sz w:val="19"/>
              </w:rPr>
              <w:t>Platform</w:t>
            </w:r>
          </w:p>
        </w:tc>
        <w:tc>
          <w:tcPr>
            <w:tcW w:type="dxa" w:w="3855"/>
            <w:vAlign w:val="center"/>
            <w:shd w:val="clear" w:color="auto" w:fill="F2F2F2"/>
          </w:tcPr>
          <w:p>
            <w:pPr>
              <w:spacing w:after="0"/>
            </w:pPr>
            <w:r/>
            <w:r>
              <w:rPr>
                <w:b w:val="0"/>
                <w:sz w:val="19"/>
              </w:rPr>
              <w:t>Kubernetes (OpenShift/RKE2), Argo CD, GitLab CI</w:t>
            </w:r>
          </w:p>
        </w:tc>
        <w:tc>
          <w:tcPr>
            <w:tcW w:type="dxa" w:w="3515"/>
            <w:vAlign w:val="center"/>
            <w:shd w:val="clear" w:color="auto" w:fill="F2F2F2"/>
          </w:tcPr>
          <w:p>
            <w:pPr>
              <w:spacing w:after="0"/>
            </w:pPr>
            <w:r/>
            <w:r>
              <w:rPr>
                <w:b w:val="0"/>
                <w:sz w:val="19"/>
              </w:rPr>
              <w:t>TCB standard</w:t>
            </w:r>
          </w:p>
        </w:tc>
      </w:tr>
    </w:tbl>
    <w:p>
      <w:pPr>
        <w:spacing w:after="40"/>
      </w:pPr>
    </w:p>
    <w:p>
      <w:pPr>
        <w:pStyle w:val="Heading1"/>
      </w:pPr>
      <w:r>
        <w:t>15. High Availability and Disaster Recovery</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041"/>
        <w:gridCol w:w="3742"/>
        <w:gridCol w:w="3628"/>
      </w:tblGrid>
      <w:tr>
        <w:trPr>
          <w:tblHeader w:val="true"/>
        </w:trPr>
        <w:tc>
          <w:tcPr>
            <w:tcW w:type="dxa" w:w="2041"/>
            <w:vAlign w:val="center"/>
            <w:shd w:val="clear" w:color="auto" w:fill="1F3864"/>
          </w:tcPr>
          <w:p>
            <w:pPr>
              <w:spacing w:after="0"/>
            </w:pPr>
            <w:r/>
            <w:r>
              <w:rPr>
                <w:b/>
                <w:color w:val="FFFFFF"/>
                <w:sz w:val="19"/>
              </w:rPr>
              <w:t>Component</w:t>
            </w:r>
          </w:p>
        </w:tc>
        <w:tc>
          <w:tcPr>
            <w:tcW w:type="dxa" w:w="3742"/>
            <w:vAlign w:val="center"/>
            <w:shd w:val="clear" w:color="auto" w:fill="1F3864"/>
          </w:tcPr>
          <w:p>
            <w:pPr>
              <w:spacing w:after="0"/>
            </w:pPr>
            <w:r/>
            <w:r>
              <w:rPr>
                <w:b/>
                <w:color w:val="FFFFFF"/>
                <w:sz w:val="19"/>
              </w:rPr>
              <w:t>High availability (within a site)</w:t>
            </w:r>
          </w:p>
        </w:tc>
        <w:tc>
          <w:tcPr>
            <w:tcW w:type="dxa" w:w="3628"/>
            <w:vAlign w:val="center"/>
            <w:shd w:val="clear" w:color="auto" w:fill="1F3864"/>
          </w:tcPr>
          <w:p>
            <w:pPr>
              <w:spacing w:after="0"/>
            </w:pPr>
            <w:r/>
            <w:r>
              <w:rPr>
                <w:b/>
                <w:color w:val="FFFFFF"/>
                <w:sz w:val="19"/>
              </w:rPr>
              <w:t>Disaster recovery (across sites)</w:t>
            </w:r>
          </w:p>
        </w:tc>
      </w:tr>
      <w:tr>
        <w:tc>
          <w:tcPr>
            <w:tcW w:type="dxa" w:w="2041"/>
            <w:vAlign w:val="center"/>
          </w:tcPr>
          <w:p>
            <w:pPr>
              <w:spacing w:after="0"/>
            </w:pPr>
            <w:r/>
            <w:r>
              <w:rPr>
                <w:b w:val="0"/>
                <w:sz w:val="19"/>
              </w:rPr>
              <w:t>DMZ / API gateway</w:t>
            </w:r>
          </w:p>
        </w:tc>
        <w:tc>
          <w:tcPr>
            <w:tcW w:type="dxa" w:w="3742"/>
            <w:vAlign w:val="center"/>
          </w:tcPr>
          <w:p>
            <w:pPr>
              <w:spacing w:after="0"/>
            </w:pPr>
            <w:r/>
            <w:r>
              <w:rPr>
                <w:b w:val="0"/>
                <w:sz w:val="19"/>
              </w:rPr>
              <w:t>≥ 2 instances behind a load balancer</w:t>
            </w:r>
          </w:p>
        </w:tc>
        <w:tc>
          <w:tcPr>
            <w:tcW w:type="dxa" w:w="3628"/>
            <w:vAlign w:val="center"/>
          </w:tcPr>
          <w:p>
            <w:pPr>
              <w:spacing w:after="0"/>
            </w:pPr>
            <w:r/>
            <w:r>
              <w:rPr>
                <w:b w:val="0"/>
                <w:sz w:val="19"/>
              </w:rPr>
              <w:t>Pre-deployed at DR; DNS/GSLB failover</w:t>
            </w:r>
          </w:p>
        </w:tc>
      </w:tr>
      <w:tr>
        <w:tc>
          <w:tcPr>
            <w:tcW w:type="dxa" w:w="2041"/>
            <w:vAlign w:val="center"/>
            <w:shd w:val="clear" w:color="auto" w:fill="F2F2F2"/>
          </w:tcPr>
          <w:p>
            <w:pPr>
              <w:spacing w:after="0"/>
            </w:pPr>
            <w:r/>
            <w:r>
              <w:rPr>
                <w:b w:val="0"/>
                <w:sz w:val="19"/>
              </w:rPr>
              <w:t>Stateless services and BFFs</w:t>
            </w:r>
          </w:p>
        </w:tc>
        <w:tc>
          <w:tcPr>
            <w:tcW w:type="dxa" w:w="3742"/>
            <w:vAlign w:val="center"/>
            <w:shd w:val="clear" w:color="auto" w:fill="F2F2F2"/>
          </w:tcPr>
          <w:p>
            <w:pPr>
              <w:spacing w:after="0"/>
            </w:pPr>
            <w:r/>
            <w:r>
              <w:rPr>
                <w:b w:val="0"/>
                <w:sz w:val="19"/>
              </w:rPr>
              <w:t>≥ 3 replicas across nodes; HPA autoscaling; pod disruption budgets</w:t>
            </w:r>
          </w:p>
        </w:tc>
        <w:tc>
          <w:tcPr>
            <w:tcW w:type="dxa" w:w="3628"/>
            <w:vAlign w:val="center"/>
            <w:shd w:val="clear" w:color="auto" w:fill="F2F2F2"/>
          </w:tcPr>
          <w:p>
            <w:pPr>
              <w:spacing w:after="0"/>
            </w:pPr>
            <w:r/>
            <w:r>
              <w:rPr>
                <w:b w:val="0"/>
                <w:sz w:val="19"/>
              </w:rPr>
              <w:t>Deployed at DR through GitOps; scaled up on failover</w:t>
            </w:r>
          </w:p>
        </w:tc>
      </w:tr>
      <w:tr>
        <w:tc>
          <w:tcPr>
            <w:tcW w:type="dxa" w:w="2041"/>
            <w:vAlign w:val="center"/>
          </w:tcPr>
          <w:p>
            <w:pPr>
              <w:spacing w:after="0"/>
            </w:pPr>
            <w:r/>
            <w:r>
              <w:rPr>
                <w:b w:val="0"/>
                <w:sz w:val="19"/>
              </w:rPr>
              <w:t>Workflow engine</w:t>
            </w:r>
          </w:p>
        </w:tc>
        <w:tc>
          <w:tcPr>
            <w:tcW w:type="dxa" w:w="3742"/>
            <w:vAlign w:val="center"/>
          </w:tcPr>
          <w:p>
            <w:pPr>
              <w:spacing w:after="0"/>
            </w:pPr>
            <w:r/>
            <w:r>
              <w:rPr>
                <w:b w:val="0"/>
                <w:sz w:val="19"/>
              </w:rPr>
              <w:t>Clustered brokers; state persisted to the database</w:t>
            </w:r>
          </w:p>
        </w:tc>
        <w:tc>
          <w:tcPr>
            <w:tcW w:type="dxa" w:w="3628"/>
            <w:vAlign w:val="center"/>
          </w:tcPr>
          <w:p>
            <w:pPr>
              <w:spacing w:after="0"/>
            </w:pPr>
            <w:r/>
            <w:r>
              <w:rPr>
                <w:b w:val="0"/>
                <w:sz w:val="19"/>
              </w:rPr>
              <w:t>Replicated state; resumes in-flight processes</w:t>
            </w:r>
          </w:p>
        </w:tc>
      </w:tr>
      <w:tr>
        <w:tc>
          <w:tcPr>
            <w:tcW w:type="dxa" w:w="2041"/>
            <w:vAlign w:val="center"/>
            <w:shd w:val="clear" w:color="auto" w:fill="F2F2F2"/>
          </w:tcPr>
          <w:p>
            <w:pPr>
              <w:spacing w:after="0"/>
            </w:pPr>
            <w:r/>
            <w:r>
              <w:rPr>
                <w:b w:val="0"/>
                <w:sz w:val="19"/>
              </w:rPr>
              <w:t>PostgreSQL</w:t>
            </w:r>
          </w:p>
        </w:tc>
        <w:tc>
          <w:tcPr>
            <w:tcW w:type="dxa" w:w="3742"/>
            <w:vAlign w:val="center"/>
            <w:shd w:val="clear" w:color="auto" w:fill="F2F2F2"/>
          </w:tcPr>
          <w:p>
            <w:pPr>
              <w:spacing w:after="0"/>
            </w:pPr>
            <w:r/>
            <w:r>
              <w:rPr>
                <w:b w:val="0"/>
                <w:sz w:val="19"/>
              </w:rPr>
              <w:t>Primary plus synchronous standby (Patroni); automatic failover</w:t>
            </w:r>
          </w:p>
        </w:tc>
        <w:tc>
          <w:tcPr>
            <w:tcW w:type="dxa" w:w="3628"/>
            <w:vAlign w:val="center"/>
            <w:shd w:val="clear" w:color="auto" w:fill="F2F2F2"/>
          </w:tcPr>
          <w:p>
            <w:pPr>
              <w:spacing w:after="0"/>
            </w:pPr>
            <w:r/>
            <w:r>
              <w:rPr>
                <w:b w:val="0"/>
                <w:sz w:val="19"/>
              </w:rPr>
              <w:t>Asynchronous streaming replica at DR; RPO ≤ 5 min</w:t>
            </w:r>
          </w:p>
        </w:tc>
      </w:tr>
      <w:tr>
        <w:tc>
          <w:tcPr>
            <w:tcW w:type="dxa" w:w="2041"/>
            <w:vAlign w:val="center"/>
          </w:tcPr>
          <w:p>
            <w:pPr>
              <w:spacing w:after="0"/>
            </w:pPr>
            <w:r/>
            <w:r>
              <w:rPr>
                <w:b w:val="0"/>
                <w:sz w:val="19"/>
              </w:rPr>
              <w:t>Kafka</w:t>
            </w:r>
          </w:p>
        </w:tc>
        <w:tc>
          <w:tcPr>
            <w:tcW w:type="dxa" w:w="3742"/>
            <w:vAlign w:val="center"/>
          </w:tcPr>
          <w:p>
            <w:pPr>
              <w:spacing w:after="0"/>
            </w:pPr>
            <w:r/>
            <w:r>
              <w:rPr>
                <w:b w:val="0"/>
                <w:sz w:val="19"/>
              </w:rPr>
              <w:t>3 brokers; replication factor 3; min.insync.replicas = 2</w:t>
            </w:r>
          </w:p>
        </w:tc>
        <w:tc>
          <w:tcPr>
            <w:tcW w:type="dxa" w:w="3628"/>
            <w:vAlign w:val="center"/>
          </w:tcPr>
          <w:p>
            <w:pPr>
              <w:spacing w:after="0"/>
            </w:pPr>
            <w:r/>
            <w:r>
              <w:rPr>
                <w:b w:val="0"/>
                <w:sz w:val="19"/>
              </w:rPr>
              <w:t>MirrorMaker 2 to the DR cluster; consumer offsets synced</w:t>
            </w:r>
          </w:p>
        </w:tc>
      </w:tr>
      <w:tr>
        <w:tc>
          <w:tcPr>
            <w:tcW w:type="dxa" w:w="2041"/>
            <w:vAlign w:val="center"/>
            <w:shd w:val="clear" w:color="auto" w:fill="F2F2F2"/>
          </w:tcPr>
          <w:p>
            <w:pPr>
              <w:spacing w:after="0"/>
            </w:pPr>
            <w:r/>
            <w:r>
              <w:rPr>
                <w:b w:val="0"/>
                <w:sz w:val="19"/>
              </w:rPr>
              <w:t>Redis (sessions, cache)</w:t>
            </w:r>
          </w:p>
        </w:tc>
        <w:tc>
          <w:tcPr>
            <w:tcW w:type="dxa" w:w="3742"/>
            <w:vAlign w:val="center"/>
            <w:shd w:val="clear" w:color="auto" w:fill="F2F2F2"/>
          </w:tcPr>
          <w:p>
            <w:pPr>
              <w:spacing w:after="0"/>
            </w:pPr>
            <w:r/>
            <w:r>
              <w:rPr>
                <w:b w:val="0"/>
                <w:sz w:val="19"/>
              </w:rPr>
              <w:t>Sentinel or cluster mode</w:t>
            </w:r>
          </w:p>
        </w:tc>
        <w:tc>
          <w:tcPr>
            <w:tcW w:type="dxa" w:w="3628"/>
            <w:vAlign w:val="center"/>
            <w:shd w:val="clear" w:color="auto" w:fill="F2F2F2"/>
          </w:tcPr>
          <w:p>
            <w:pPr>
              <w:spacing w:after="0"/>
            </w:pPr>
            <w:r/>
            <w:r>
              <w:rPr>
                <w:b w:val="0"/>
                <w:sz w:val="19"/>
              </w:rPr>
              <w:t>Rebuilt at DR; USSD sessions restart</w:t>
            </w:r>
          </w:p>
        </w:tc>
      </w:tr>
      <w:tr>
        <w:tc>
          <w:tcPr>
            <w:tcW w:type="dxa" w:w="2041"/>
            <w:vAlign w:val="center"/>
          </w:tcPr>
          <w:p>
            <w:pPr>
              <w:spacing w:after="0"/>
            </w:pPr>
            <w:r/>
            <w:r>
              <w:rPr>
                <w:b w:val="0"/>
                <w:sz w:val="19"/>
              </w:rPr>
              <w:t>Object storage</w:t>
            </w:r>
          </w:p>
        </w:tc>
        <w:tc>
          <w:tcPr>
            <w:tcW w:type="dxa" w:w="3742"/>
            <w:vAlign w:val="center"/>
          </w:tcPr>
          <w:p>
            <w:pPr>
              <w:spacing w:after="0"/>
            </w:pPr>
            <w:r/>
            <w:r>
              <w:rPr>
                <w:b w:val="0"/>
                <w:sz w:val="19"/>
              </w:rPr>
              <w:t>Erasure-coded, 3+ nodes</w:t>
            </w:r>
          </w:p>
        </w:tc>
        <w:tc>
          <w:tcPr>
            <w:tcW w:type="dxa" w:w="3628"/>
            <w:vAlign w:val="center"/>
          </w:tcPr>
          <w:p>
            <w:pPr>
              <w:spacing w:after="0"/>
            </w:pPr>
            <w:r/>
            <w:r>
              <w:rPr>
                <w:b w:val="0"/>
                <w:sz w:val="19"/>
              </w:rPr>
              <w:t>Bucket replication to DR</w:t>
            </w:r>
          </w:p>
        </w:tc>
      </w:tr>
      <w:tr>
        <w:tc>
          <w:tcPr>
            <w:tcW w:type="dxa" w:w="2041"/>
            <w:vAlign w:val="center"/>
            <w:shd w:val="clear" w:color="auto" w:fill="F2F2F2"/>
          </w:tcPr>
          <w:p>
            <w:pPr>
              <w:spacing w:after="0"/>
            </w:pPr>
            <w:r/>
            <w:r>
              <w:rPr>
                <w:b w:val="0"/>
                <w:sz w:val="19"/>
              </w:rPr>
              <w:t>BoT / CBS connectivity</w:t>
            </w:r>
          </w:p>
        </w:tc>
        <w:tc>
          <w:tcPr>
            <w:tcW w:type="dxa" w:w="3742"/>
            <w:vAlign w:val="center"/>
            <w:shd w:val="clear" w:color="auto" w:fill="F2F2F2"/>
          </w:tcPr>
          <w:p>
            <w:pPr>
              <w:spacing w:after="0"/>
            </w:pPr>
            <w:r/>
            <w:r>
              <w:rPr>
                <w:b w:val="0"/>
                <w:sz w:val="19"/>
              </w:rPr>
              <w:t>Redundant links and VPN tunnels</w:t>
            </w:r>
          </w:p>
        </w:tc>
        <w:tc>
          <w:tcPr>
            <w:tcW w:type="dxa" w:w="3628"/>
            <w:vAlign w:val="center"/>
            <w:shd w:val="clear" w:color="auto" w:fill="F2F2F2"/>
          </w:tcPr>
          <w:p>
            <w:pPr>
              <w:spacing w:after="0"/>
            </w:pPr>
            <w:r/>
            <w:r>
              <w:rPr>
                <w:b w:val="0"/>
                <w:sz w:val="19"/>
              </w:rPr>
              <w:t>Separate BoT link and certificates provisioned at DR</w:t>
            </w:r>
          </w:p>
        </w:tc>
      </w:tr>
    </w:tbl>
    <w:p>
      <w:pPr>
        <w:spacing w:after="40"/>
      </w:pPr>
    </w:p>
    <w:p>
      <w:pPr>
        <w:pStyle w:val="ListBullet"/>
        <w:spacing w:after="40"/>
      </w:pPr>
      <w:r>
        <w:t>Failover runbook: freeze bid intake, promote the DR database, switch GSLB, replay outbox and Kafka, run reconciliation, then reopen channels. Target RTO is 2 hours or less.</w:t>
      </w:r>
    </w:p>
    <w:p>
      <w:pPr>
        <w:pStyle w:val="ListBullet"/>
        <w:spacing w:after="40"/>
      </w:pPr>
      <w:r>
        <w:t>Auction-day safeguard: if a failover happens near cut-off, submission can be triggered manually from DR after a reconciliation check. TCB will agree an escalation path with BoT in advance.</w:t>
      </w:r>
    </w:p>
    <w:p>
      <w:pPr>
        <w:pStyle w:val="ListBullet"/>
        <w:spacing w:after="40"/>
      </w:pPr>
      <w:r>
        <w:t>Backups: daily full backups plus continuous WAL archiving. Backups are encrypted and kept offsite and immutable. Restores are tested every quarter.</w:t>
      </w:r>
    </w:p>
    <w:p>
      <w:pPr>
        <w:spacing w:after="0"/>
      </w:pPr>
    </w:p>
    <w:p>
      <w:pPr>
        <w:pStyle w:val="Heading1"/>
      </w:pPr>
      <w:r>
        <w:t>16. Observability and Operations</w:t>
      </w:r>
    </w:p>
    <w:p>
      <w:pPr>
        <w:pStyle w:val="Heading2"/>
      </w:pPr>
      <w:r>
        <w:t>16.1 Monitoring</w:t>
      </w:r>
    </w:p>
    <w:p>
      <w:pPr>
        <w:pStyle w:val="ListBullet"/>
        <w:spacing w:after="40"/>
      </w:pPr>
      <w:r>
        <w:t>Business activity monitoring for auction days: bids per minute, hold failures, time to cut-off, submission and result status.</w:t>
      </w:r>
    </w:p>
    <w:p>
      <w:pPr>
        <w:pStyle w:val="ListBullet"/>
        <w:spacing w:after="40"/>
      </w:pPr>
      <w:r>
        <w:t>Technical monitoring: service health, latency, error rates, queue depth and external interface availability (BoT, CBS, NIDA, MNOs), with alerts by SMS, email and on-call.</w:t>
      </w:r>
    </w:p>
    <w:p>
      <w:pPr>
        <w:pStyle w:val="ListBullet"/>
        <w:spacing w:after="40"/>
      </w:pPr>
      <w:r>
        <w:t>Distributed tracing (OpenTelemetry) with one correlation ID from the channel request through to CBS and BoT calls.</w:t>
      </w:r>
    </w:p>
    <w:p>
      <w:pPr>
        <w:pStyle w:val="ListBullet"/>
        <w:spacing w:after="40"/>
      </w:pPr>
      <w:r>
        <w:t>Structured JSON logs with PII masked, shipped to the log platform and forwarded to TCB SIEM.</w:t>
      </w:r>
    </w:p>
    <w:p>
      <w:pPr>
        <w:pStyle w:val="ListBullet"/>
        <w:spacing w:after="40"/>
      </w:pPr>
      <w:r>
        <w:t>Synthetic transactions on each channel every 5 minutes.</w:t>
      </w:r>
    </w:p>
    <w:p>
      <w:pPr>
        <w:spacing w:after="0"/>
      </w:pPr>
    </w:p>
    <w:p>
      <w:pPr>
        <w:pStyle w:val="Heading2"/>
      </w:pPr>
      <w:r>
        <w:t>16.2 Incident Severity Model</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1701"/>
        <w:gridCol w:w="3969"/>
        <w:gridCol w:w="1701"/>
        <w:gridCol w:w="2041"/>
      </w:tblGrid>
      <w:tr>
        <w:trPr>
          <w:tblHeader w:val="true"/>
        </w:trPr>
        <w:tc>
          <w:tcPr>
            <w:tcW w:type="dxa" w:w="1701"/>
            <w:vAlign w:val="center"/>
            <w:shd w:val="clear" w:color="auto" w:fill="1F3864"/>
          </w:tcPr>
          <w:p>
            <w:pPr>
              <w:spacing w:after="0"/>
            </w:pPr>
            <w:r/>
            <w:r>
              <w:rPr>
                <w:b/>
                <w:color w:val="FFFFFF"/>
                <w:sz w:val="19"/>
              </w:rPr>
              <w:t>Severity</w:t>
            </w:r>
          </w:p>
        </w:tc>
        <w:tc>
          <w:tcPr>
            <w:tcW w:type="dxa" w:w="3969"/>
            <w:vAlign w:val="center"/>
            <w:shd w:val="clear" w:color="auto" w:fill="1F3864"/>
          </w:tcPr>
          <w:p>
            <w:pPr>
              <w:spacing w:after="0"/>
            </w:pPr>
            <w:r/>
            <w:r>
              <w:rPr>
                <w:b/>
                <w:color w:val="FFFFFF"/>
                <w:sz w:val="19"/>
              </w:rPr>
              <w:t>Definition</w:t>
            </w:r>
          </w:p>
        </w:tc>
        <w:tc>
          <w:tcPr>
            <w:tcW w:type="dxa" w:w="1701"/>
            <w:vAlign w:val="center"/>
            <w:shd w:val="clear" w:color="auto" w:fill="1F3864"/>
          </w:tcPr>
          <w:p>
            <w:pPr>
              <w:spacing w:after="0"/>
            </w:pPr>
            <w:r/>
            <w:r>
              <w:rPr>
                <w:b/>
                <w:color w:val="FFFFFF"/>
                <w:sz w:val="19"/>
              </w:rPr>
              <w:t>Response</w:t>
            </w:r>
          </w:p>
        </w:tc>
        <w:tc>
          <w:tcPr>
            <w:tcW w:type="dxa" w:w="2041"/>
            <w:vAlign w:val="center"/>
            <w:shd w:val="clear" w:color="auto" w:fill="1F3864"/>
          </w:tcPr>
          <w:p>
            <w:pPr>
              <w:spacing w:after="0"/>
            </w:pPr>
            <w:r/>
            <w:r>
              <w:rPr>
                <w:b/>
                <w:color w:val="FFFFFF"/>
                <w:sz w:val="19"/>
              </w:rPr>
              <w:t>Resolution / workaround</w:t>
            </w:r>
          </w:p>
        </w:tc>
      </w:tr>
      <w:tr>
        <w:tc>
          <w:tcPr>
            <w:tcW w:type="dxa" w:w="1701"/>
            <w:vAlign w:val="center"/>
          </w:tcPr>
          <w:p>
            <w:pPr>
              <w:spacing w:after="0"/>
            </w:pPr>
            <w:r/>
            <w:r>
              <w:rPr>
                <w:b w:val="0"/>
                <w:sz w:val="19"/>
              </w:rPr>
              <w:t>P1 – Critical</w:t>
            </w:r>
          </w:p>
        </w:tc>
        <w:tc>
          <w:tcPr>
            <w:tcW w:type="dxa" w:w="3969"/>
            <w:vAlign w:val="center"/>
          </w:tcPr>
          <w:p>
            <w:pPr>
              <w:spacing w:after="0"/>
            </w:pPr>
            <w:r/>
            <w:r>
              <w:rPr>
                <w:b w:val="0"/>
                <w:sz w:val="19"/>
              </w:rPr>
              <w:t>Platform or a channel is down, or bidding/settlement cannot be processed</w:t>
            </w:r>
          </w:p>
        </w:tc>
        <w:tc>
          <w:tcPr>
            <w:tcW w:type="dxa" w:w="1701"/>
            <w:vAlign w:val="center"/>
          </w:tcPr>
          <w:p>
            <w:pPr>
              <w:spacing w:after="0"/>
            </w:pPr>
            <w:r/>
            <w:r>
              <w:rPr>
                <w:b w:val="0"/>
                <w:sz w:val="19"/>
              </w:rPr>
              <w:t>15 min (24x7)</w:t>
            </w:r>
          </w:p>
        </w:tc>
        <w:tc>
          <w:tcPr>
            <w:tcW w:type="dxa" w:w="2041"/>
            <w:vAlign w:val="center"/>
          </w:tcPr>
          <w:p>
            <w:pPr>
              <w:spacing w:after="0"/>
            </w:pPr>
            <w:r/>
            <w:r>
              <w:rPr>
                <w:b w:val="0"/>
                <w:sz w:val="19"/>
              </w:rPr>
              <w:t>4 hours</w:t>
            </w:r>
          </w:p>
        </w:tc>
      </w:tr>
      <w:tr>
        <w:tc>
          <w:tcPr>
            <w:tcW w:type="dxa" w:w="1701"/>
            <w:vAlign w:val="center"/>
            <w:shd w:val="clear" w:color="auto" w:fill="F2F2F2"/>
          </w:tcPr>
          <w:p>
            <w:pPr>
              <w:spacing w:after="0"/>
            </w:pPr>
            <w:r/>
            <w:r>
              <w:rPr>
                <w:b w:val="0"/>
                <w:sz w:val="19"/>
              </w:rPr>
              <w:t>P2 – High</w:t>
            </w:r>
          </w:p>
        </w:tc>
        <w:tc>
          <w:tcPr>
            <w:tcW w:type="dxa" w:w="3969"/>
            <w:vAlign w:val="center"/>
            <w:shd w:val="clear" w:color="auto" w:fill="F2F2F2"/>
          </w:tcPr>
          <w:p>
            <w:pPr>
              <w:spacing w:after="0"/>
            </w:pPr>
            <w:r/>
            <w:r>
              <w:rPr>
                <w:b w:val="0"/>
                <w:sz w:val="19"/>
              </w:rPr>
              <w:t>Major function degraded; workaround exists</w:t>
            </w:r>
          </w:p>
        </w:tc>
        <w:tc>
          <w:tcPr>
            <w:tcW w:type="dxa" w:w="1701"/>
            <w:vAlign w:val="center"/>
            <w:shd w:val="clear" w:color="auto" w:fill="F2F2F2"/>
          </w:tcPr>
          <w:p>
            <w:pPr>
              <w:spacing w:after="0"/>
            </w:pPr>
            <w:r/>
            <w:r>
              <w:rPr>
                <w:b w:val="0"/>
                <w:sz w:val="19"/>
              </w:rPr>
              <w:t>1 hour</w:t>
            </w:r>
          </w:p>
        </w:tc>
        <w:tc>
          <w:tcPr>
            <w:tcW w:type="dxa" w:w="2041"/>
            <w:vAlign w:val="center"/>
            <w:shd w:val="clear" w:color="auto" w:fill="F2F2F2"/>
          </w:tcPr>
          <w:p>
            <w:pPr>
              <w:spacing w:after="0"/>
            </w:pPr>
            <w:r/>
            <w:r>
              <w:rPr>
                <w:b w:val="0"/>
                <w:sz w:val="19"/>
              </w:rPr>
              <w:t>8 hours</w:t>
            </w:r>
          </w:p>
        </w:tc>
      </w:tr>
      <w:tr>
        <w:tc>
          <w:tcPr>
            <w:tcW w:type="dxa" w:w="1701"/>
            <w:vAlign w:val="center"/>
          </w:tcPr>
          <w:p>
            <w:pPr>
              <w:spacing w:after="0"/>
            </w:pPr>
            <w:r/>
            <w:r>
              <w:rPr>
                <w:b w:val="0"/>
                <w:sz w:val="19"/>
              </w:rPr>
              <w:t>P3 – Medium</w:t>
            </w:r>
          </w:p>
        </w:tc>
        <w:tc>
          <w:tcPr>
            <w:tcW w:type="dxa" w:w="3969"/>
            <w:vAlign w:val="center"/>
          </w:tcPr>
          <w:p>
            <w:pPr>
              <w:spacing w:after="0"/>
            </w:pPr>
            <w:r/>
            <w:r>
              <w:rPr>
                <w:b w:val="0"/>
                <w:sz w:val="19"/>
              </w:rPr>
              <w:t>Minor function affected</w:t>
            </w:r>
          </w:p>
        </w:tc>
        <w:tc>
          <w:tcPr>
            <w:tcW w:type="dxa" w:w="1701"/>
            <w:vAlign w:val="center"/>
          </w:tcPr>
          <w:p>
            <w:pPr>
              <w:spacing w:after="0"/>
            </w:pPr>
            <w:r/>
            <w:r>
              <w:rPr>
                <w:b w:val="0"/>
                <w:sz w:val="19"/>
              </w:rPr>
              <w:t>4 business hours</w:t>
            </w:r>
          </w:p>
        </w:tc>
        <w:tc>
          <w:tcPr>
            <w:tcW w:type="dxa" w:w="2041"/>
            <w:vAlign w:val="center"/>
          </w:tcPr>
          <w:p>
            <w:pPr>
              <w:spacing w:after="0"/>
            </w:pPr>
            <w:r/>
            <w:r>
              <w:rPr>
                <w:b w:val="0"/>
                <w:sz w:val="19"/>
              </w:rPr>
              <w:t>3 business days</w:t>
            </w:r>
          </w:p>
        </w:tc>
      </w:tr>
      <w:tr>
        <w:tc>
          <w:tcPr>
            <w:tcW w:type="dxa" w:w="1701"/>
            <w:vAlign w:val="center"/>
            <w:shd w:val="clear" w:color="auto" w:fill="F2F2F2"/>
          </w:tcPr>
          <w:p>
            <w:pPr>
              <w:spacing w:after="0"/>
            </w:pPr>
            <w:r/>
            <w:r>
              <w:rPr>
                <w:b w:val="0"/>
                <w:sz w:val="19"/>
              </w:rPr>
              <w:t>P4 – Low</w:t>
            </w:r>
          </w:p>
        </w:tc>
        <w:tc>
          <w:tcPr>
            <w:tcW w:type="dxa" w:w="3969"/>
            <w:vAlign w:val="center"/>
            <w:shd w:val="clear" w:color="auto" w:fill="F2F2F2"/>
          </w:tcPr>
          <w:p>
            <w:pPr>
              <w:spacing w:after="0"/>
            </w:pPr>
            <w:r/>
            <w:r>
              <w:rPr>
                <w:b w:val="0"/>
                <w:sz w:val="19"/>
              </w:rPr>
              <w:t>Cosmetic issue or enquiry</w:t>
            </w:r>
          </w:p>
        </w:tc>
        <w:tc>
          <w:tcPr>
            <w:tcW w:type="dxa" w:w="1701"/>
            <w:vAlign w:val="center"/>
            <w:shd w:val="clear" w:color="auto" w:fill="F2F2F2"/>
          </w:tcPr>
          <w:p>
            <w:pPr>
              <w:spacing w:after="0"/>
            </w:pPr>
            <w:r/>
            <w:r>
              <w:rPr>
                <w:b w:val="0"/>
                <w:sz w:val="19"/>
              </w:rPr>
              <w:t>1 business day</w:t>
            </w:r>
          </w:p>
        </w:tc>
        <w:tc>
          <w:tcPr>
            <w:tcW w:type="dxa" w:w="2041"/>
            <w:vAlign w:val="center"/>
            <w:shd w:val="clear" w:color="auto" w:fill="F2F2F2"/>
          </w:tcPr>
          <w:p>
            <w:pPr>
              <w:spacing w:after="0"/>
            </w:pPr>
            <w:r/>
            <w:r>
              <w:rPr>
                <w:b w:val="0"/>
                <w:sz w:val="19"/>
              </w:rPr>
              <w:t>Next release</w:t>
            </w:r>
          </w:p>
        </w:tc>
      </w:tr>
    </w:tbl>
    <w:p>
      <w:pPr>
        <w:spacing w:after="40"/>
      </w:pPr>
    </w:p>
    <w:p>
      <w:pPr>
        <w:pStyle w:val="Heading2"/>
      </w:pPr>
      <w:r>
        <w:t>16.3 Release and Change Management</w:t>
      </w:r>
    </w:p>
    <w:p>
      <w:pPr>
        <w:keepNext/>
        <w:jc w:val="center"/>
      </w:pPr>
      <w:r>
        <w:drawing>
          <wp:inline xmlns:a="http://schemas.openxmlformats.org/drawingml/2006/main" xmlns:pic="http://schemas.openxmlformats.org/drawingml/2006/picture">
            <wp:extent cx="5976000" cy="1736360"/>
            <wp:docPr id="10" name="Picture 10"/>
            <wp:cNvGraphicFramePr>
              <a:graphicFrameLocks noChangeAspect="1"/>
            </wp:cNvGraphicFramePr>
            <a:graphic>
              <a:graphicData uri="http://schemas.openxmlformats.org/drawingml/2006/picture">
                <pic:pic>
                  <pic:nvPicPr>
                    <pic:cNvPr id="0" name="10_cicd.png"/>
                    <pic:cNvPicPr/>
                  </pic:nvPicPr>
                  <pic:blipFill>
                    <a:blip r:embed="rId20"/>
                    <a:stretch>
                      <a:fillRect/>
                    </a:stretch>
                  </pic:blipFill>
                  <pic:spPr>
                    <a:xfrm>
                      <a:off x="0" y="0"/>
                      <a:ext cx="5976000" cy="1736360"/>
                    </a:xfrm>
                    <a:prstGeom prst="rect"/>
                  </pic:spPr>
                </pic:pic>
              </a:graphicData>
            </a:graphic>
          </wp:inline>
        </w:drawing>
      </w:r>
    </w:p>
    <w:p>
      <w:pPr>
        <w:jc w:val="center"/>
      </w:pPr>
      <w:r>
        <w:rPr>
          <w:i/>
          <w:color w:val="595959"/>
          <w:sz w:val="18"/>
        </w:rPr>
        <w:t>Figure 10 – CI/CD pipeline and environment promotion</w:t>
      </w:r>
    </w:p>
    <w:p>
      <w:pPr>
        <w:pStyle w:val="ListBullet"/>
        <w:spacing w:after="40"/>
      </w:pPr>
      <w:r>
        <w:t>Trunk-based development. CI pipelines build, test, scan (SAST, SCA, containers) and sign each image.</w:t>
      </w:r>
    </w:p>
    <w:p>
      <w:pPr>
        <w:pStyle w:val="ListBullet"/>
        <w:spacing w:after="40"/>
      </w:pPr>
      <w:r>
        <w:t>Promotion DEV → SIT → UAT → PRE-PROD → PROD goes through GitOps, with CAB approval before production.</w:t>
      </w:r>
    </w:p>
    <w:p>
      <w:pPr>
        <w:pStyle w:val="ListBullet"/>
        <w:spacing w:after="40"/>
      </w:pPr>
      <w:r>
        <w:t>Rolling or blue-green deployments with zero downtime. Database migrations are backward-compatible (expand/contract).</w:t>
      </w:r>
    </w:p>
    <w:p>
      <w:pPr>
        <w:pStyle w:val="ListBullet"/>
        <w:spacing w:after="40"/>
      </w:pPr>
      <w:r>
        <w:t>A change freeze applies in the window from auction day minus 1 to settlement day.</w:t>
      </w:r>
    </w:p>
    <w:p>
      <w:pPr>
        <w:spacing w:after="0"/>
      </w:pPr>
    </w:p>
    <w:p>
      <w:pPr>
        <w:pStyle w:val="Heading1"/>
      </w:pPr>
      <w:r>
        <w:t>17. Architecture Decision Records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907"/>
        <w:gridCol w:w="2494"/>
        <w:gridCol w:w="3175"/>
        <w:gridCol w:w="2835"/>
      </w:tblGrid>
      <w:tr>
        <w:trPr>
          <w:tblHeader w:val="true"/>
        </w:trPr>
        <w:tc>
          <w:tcPr>
            <w:tcW w:type="dxa" w:w="907"/>
            <w:vAlign w:val="center"/>
            <w:shd w:val="clear" w:color="auto" w:fill="1F3864"/>
          </w:tcPr>
          <w:p>
            <w:pPr>
              <w:spacing w:after="0"/>
            </w:pPr>
            <w:r/>
            <w:r>
              <w:rPr>
                <w:b/>
                <w:color w:val="FFFFFF"/>
                <w:sz w:val="17"/>
              </w:rPr>
              <w:t>ID</w:t>
            </w:r>
          </w:p>
        </w:tc>
        <w:tc>
          <w:tcPr>
            <w:tcW w:type="dxa" w:w="2494"/>
            <w:vAlign w:val="center"/>
            <w:shd w:val="clear" w:color="auto" w:fill="1F3864"/>
          </w:tcPr>
          <w:p>
            <w:pPr>
              <w:spacing w:after="0"/>
            </w:pPr>
            <w:r/>
            <w:r>
              <w:rPr>
                <w:b/>
                <w:color w:val="FFFFFF"/>
                <w:sz w:val="17"/>
              </w:rPr>
              <w:t>Decision</w:t>
            </w:r>
          </w:p>
        </w:tc>
        <w:tc>
          <w:tcPr>
            <w:tcW w:type="dxa" w:w="3175"/>
            <w:vAlign w:val="center"/>
            <w:shd w:val="clear" w:color="auto" w:fill="1F3864"/>
          </w:tcPr>
          <w:p>
            <w:pPr>
              <w:spacing w:after="0"/>
            </w:pPr>
            <w:r/>
            <w:r>
              <w:rPr>
                <w:b/>
                <w:color w:val="FFFFFF"/>
                <w:sz w:val="17"/>
              </w:rPr>
              <w:t>Rationale</w:t>
            </w:r>
          </w:p>
        </w:tc>
        <w:tc>
          <w:tcPr>
            <w:tcW w:type="dxa" w:w="2835"/>
            <w:vAlign w:val="center"/>
            <w:shd w:val="clear" w:color="auto" w:fill="1F3864"/>
          </w:tcPr>
          <w:p>
            <w:pPr>
              <w:spacing w:after="0"/>
            </w:pPr>
            <w:r/>
            <w:r>
              <w:rPr>
                <w:b/>
                <w:color w:val="FFFFFF"/>
                <w:sz w:val="17"/>
              </w:rPr>
              <w:t>Alternatives considered</w:t>
            </w:r>
          </w:p>
        </w:tc>
      </w:tr>
      <w:tr>
        <w:tc>
          <w:tcPr>
            <w:tcW w:type="dxa" w:w="907"/>
            <w:vAlign w:val="center"/>
          </w:tcPr>
          <w:p>
            <w:pPr>
              <w:spacing w:after="0"/>
            </w:pPr>
            <w:r/>
            <w:r>
              <w:rPr>
                <w:b w:val="0"/>
                <w:sz w:val="17"/>
              </w:rPr>
              <w:t>ADR-01</w:t>
            </w:r>
          </w:p>
        </w:tc>
        <w:tc>
          <w:tcPr>
            <w:tcW w:type="dxa" w:w="2494"/>
            <w:vAlign w:val="center"/>
          </w:tcPr>
          <w:p>
            <w:pPr>
              <w:spacing w:after="0"/>
            </w:pPr>
            <w:r/>
            <w:r>
              <w:rPr>
                <w:b w:val="0"/>
                <w:sz w:val="17"/>
              </w:rPr>
              <w:t>Microservices by business domain behind channel BFFs</w:t>
            </w:r>
          </w:p>
        </w:tc>
        <w:tc>
          <w:tcPr>
            <w:tcW w:type="dxa" w:w="3175"/>
            <w:vAlign w:val="center"/>
          </w:tcPr>
          <w:p>
            <w:pPr>
              <w:spacing w:after="0"/>
            </w:pPr>
            <w:r/>
            <w:r>
              <w:rPr>
                <w:b w:val="0"/>
                <w:sz w:val="17"/>
              </w:rPr>
              <w:t>Independent scaling for auction peaks; channel isolation; clear data ownership</w:t>
            </w:r>
          </w:p>
        </w:tc>
        <w:tc>
          <w:tcPr>
            <w:tcW w:type="dxa" w:w="2835"/>
            <w:vAlign w:val="center"/>
          </w:tcPr>
          <w:p>
            <w:pPr>
              <w:spacing w:after="0"/>
            </w:pPr>
            <w:r/>
            <w:r>
              <w:rPr>
                <w:b w:val="0"/>
                <w:sz w:val="17"/>
              </w:rPr>
              <w:t>Modular monolith (simpler, but one scaling unit)</w:t>
            </w:r>
          </w:p>
        </w:tc>
      </w:tr>
      <w:tr>
        <w:tc>
          <w:tcPr>
            <w:tcW w:type="dxa" w:w="907"/>
            <w:vAlign w:val="center"/>
            <w:shd w:val="clear" w:color="auto" w:fill="F2F2F2"/>
          </w:tcPr>
          <w:p>
            <w:pPr>
              <w:spacing w:after="0"/>
            </w:pPr>
            <w:r/>
            <w:r>
              <w:rPr>
                <w:b w:val="0"/>
                <w:sz w:val="17"/>
              </w:rPr>
              <w:t>ADR-02</w:t>
            </w:r>
          </w:p>
        </w:tc>
        <w:tc>
          <w:tcPr>
            <w:tcW w:type="dxa" w:w="2494"/>
            <w:vAlign w:val="center"/>
            <w:shd w:val="clear" w:color="auto" w:fill="F2F2F2"/>
          </w:tcPr>
          <w:p>
            <w:pPr>
              <w:spacing w:after="0"/>
            </w:pPr>
            <w:r/>
            <w:r>
              <w:rPr>
                <w:b w:val="0"/>
                <w:sz w:val="17"/>
              </w:rPr>
              <w:t>Funds hold on CBS before a bid is accepted</w:t>
            </w:r>
          </w:p>
        </w:tc>
        <w:tc>
          <w:tcPr>
            <w:tcW w:type="dxa" w:w="3175"/>
            <w:vAlign w:val="center"/>
            <w:shd w:val="clear" w:color="auto" w:fill="F2F2F2"/>
          </w:tcPr>
          <w:p>
            <w:pPr>
              <w:spacing w:after="0"/>
            </w:pPr>
            <w:r/>
            <w:r>
              <w:rPr>
                <w:b w:val="0"/>
                <w:sz w:val="17"/>
              </w:rPr>
              <w:t>Removes settlement failures from insufficient funds</w:t>
            </w:r>
          </w:p>
        </w:tc>
        <w:tc>
          <w:tcPr>
            <w:tcW w:type="dxa" w:w="2835"/>
            <w:vAlign w:val="center"/>
            <w:shd w:val="clear" w:color="auto" w:fill="F2F2F2"/>
          </w:tcPr>
          <w:p>
            <w:pPr>
              <w:spacing w:after="0"/>
            </w:pPr>
            <w:r/>
            <w:r>
              <w:rPr>
                <w:b w:val="0"/>
                <w:sz w:val="17"/>
              </w:rPr>
              <w:t>Debit at submission (poor experience if unsuccessful); debit at settlement (settlement risk)</w:t>
            </w:r>
          </w:p>
        </w:tc>
      </w:tr>
      <w:tr>
        <w:tc>
          <w:tcPr>
            <w:tcW w:type="dxa" w:w="907"/>
            <w:vAlign w:val="center"/>
          </w:tcPr>
          <w:p>
            <w:pPr>
              <w:spacing w:after="0"/>
            </w:pPr>
            <w:r/>
            <w:r>
              <w:rPr>
                <w:b w:val="0"/>
                <w:sz w:val="17"/>
              </w:rPr>
              <w:t>ADR-03</w:t>
            </w:r>
          </w:p>
        </w:tc>
        <w:tc>
          <w:tcPr>
            <w:tcW w:type="dxa" w:w="2494"/>
            <w:vAlign w:val="center"/>
          </w:tcPr>
          <w:p>
            <w:pPr>
              <w:spacing w:after="0"/>
            </w:pPr>
            <w:r/>
            <w:r>
              <w:rPr>
                <w:b w:val="0"/>
                <w:sz w:val="17"/>
              </w:rPr>
              <w:t>Kafka event backbone with transactional outbox</w:t>
            </w:r>
          </w:p>
        </w:tc>
        <w:tc>
          <w:tcPr>
            <w:tcW w:type="dxa" w:w="3175"/>
            <w:vAlign w:val="center"/>
          </w:tcPr>
          <w:p>
            <w:pPr>
              <w:spacing w:after="0"/>
            </w:pPr>
            <w:r/>
            <w:r>
              <w:rPr>
                <w:b w:val="0"/>
                <w:sz w:val="17"/>
              </w:rPr>
              <w:t>Reliable events for audit, notifications, analytics and reconciliation</w:t>
            </w:r>
          </w:p>
        </w:tc>
        <w:tc>
          <w:tcPr>
            <w:tcW w:type="dxa" w:w="2835"/>
            <w:vAlign w:val="center"/>
          </w:tcPr>
          <w:p>
            <w:pPr>
              <w:spacing w:after="0"/>
            </w:pPr>
            <w:r/>
            <w:r>
              <w:rPr>
                <w:b w:val="0"/>
                <w:sz w:val="17"/>
              </w:rPr>
              <w:t>Direct synchronous calls only; RabbitMQ</w:t>
            </w:r>
          </w:p>
        </w:tc>
      </w:tr>
      <w:tr>
        <w:tc>
          <w:tcPr>
            <w:tcW w:type="dxa" w:w="907"/>
            <w:vAlign w:val="center"/>
            <w:shd w:val="clear" w:color="auto" w:fill="F2F2F2"/>
          </w:tcPr>
          <w:p>
            <w:pPr>
              <w:spacing w:after="0"/>
            </w:pPr>
            <w:r/>
            <w:r>
              <w:rPr>
                <w:b w:val="0"/>
                <w:sz w:val="17"/>
              </w:rPr>
              <w:t>ADR-04</w:t>
            </w:r>
          </w:p>
        </w:tc>
        <w:tc>
          <w:tcPr>
            <w:tcW w:type="dxa" w:w="2494"/>
            <w:vAlign w:val="center"/>
            <w:shd w:val="clear" w:color="auto" w:fill="F2F2F2"/>
          </w:tcPr>
          <w:p>
            <w:pPr>
              <w:spacing w:after="0"/>
            </w:pPr>
            <w:r/>
            <w:r>
              <w:rPr>
                <w:b w:val="0"/>
                <w:sz w:val="17"/>
              </w:rPr>
              <w:t>BoT GSS Bidding API (REST) for auctions, bids and results; API-or-file adapters kept for CDS and settlement</w:t>
            </w:r>
          </w:p>
        </w:tc>
        <w:tc>
          <w:tcPr>
            <w:tcW w:type="dxa" w:w="3175"/>
            <w:vAlign w:val="center"/>
            <w:shd w:val="clear" w:color="auto" w:fill="F2F2F2"/>
          </w:tcPr>
          <w:p>
            <w:pPr>
              <w:spacing w:after="0"/>
            </w:pPr>
            <w:r/>
            <w:r>
              <w:rPr>
                <w:b w:val="0"/>
                <w:sz w:val="17"/>
              </w:rPr>
              <w:t>BoT has published R2 for bidding; CDS and settlement interfaces are still unspecified</w:t>
            </w:r>
          </w:p>
        </w:tc>
        <w:tc>
          <w:tcPr>
            <w:tcW w:type="dxa" w:w="2835"/>
            <w:vAlign w:val="center"/>
            <w:shd w:val="clear" w:color="auto" w:fill="F2F2F2"/>
          </w:tcPr>
          <w:p>
            <w:pPr>
              <w:spacing w:after="0"/>
            </w:pPr>
            <w:r/>
            <w:r>
              <w:rPr>
                <w:b w:val="0"/>
                <w:sz w:val="17"/>
              </w:rPr>
              <w:t>File-only integration</w:t>
            </w:r>
          </w:p>
        </w:tc>
      </w:tr>
      <w:tr>
        <w:tc>
          <w:tcPr>
            <w:tcW w:type="dxa" w:w="907"/>
            <w:vAlign w:val="center"/>
          </w:tcPr>
          <w:p>
            <w:pPr>
              <w:spacing w:after="0"/>
            </w:pPr>
            <w:r/>
            <w:r>
              <w:rPr>
                <w:b w:val="0"/>
                <w:sz w:val="17"/>
              </w:rPr>
              <w:t>ADR-05</w:t>
            </w:r>
          </w:p>
        </w:tc>
        <w:tc>
          <w:tcPr>
            <w:tcW w:type="dxa" w:w="2494"/>
            <w:vAlign w:val="center"/>
          </w:tcPr>
          <w:p>
            <w:pPr>
              <w:spacing w:after="0"/>
            </w:pPr>
            <w:r/>
            <w:r>
              <w:rPr>
                <w:b w:val="0"/>
                <w:sz w:val="17"/>
              </w:rPr>
              <w:t>BPMN workflow engine for long-running processes</w:t>
            </w:r>
          </w:p>
        </w:tc>
        <w:tc>
          <w:tcPr>
            <w:tcW w:type="dxa" w:w="3175"/>
            <w:vAlign w:val="center"/>
          </w:tcPr>
          <w:p>
            <w:pPr>
              <w:spacing w:after="0"/>
            </w:pPr>
            <w:r/>
            <w:r>
              <w:rPr>
                <w:b w:val="0"/>
                <w:sz w:val="17"/>
              </w:rPr>
              <w:t>Visible, auditable state for multi-day flows; timers for cut-offs</w:t>
            </w:r>
          </w:p>
        </w:tc>
        <w:tc>
          <w:tcPr>
            <w:tcW w:type="dxa" w:w="2835"/>
            <w:vAlign w:val="center"/>
          </w:tcPr>
          <w:p>
            <w:pPr>
              <w:spacing w:after="0"/>
            </w:pPr>
            <w:r/>
            <w:r>
              <w:rPr>
                <w:b w:val="0"/>
                <w:sz w:val="17"/>
              </w:rPr>
              <w:t>Hand-coded state machines</w:t>
            </w:r>
          </w:p>
        </w:tc>
      </w:tr>
      <w:tr>
        <w:tc>
          <w:tcPr>
            <w:tcW w:type="dxa" w:w="907"/>
            <w:vAlign w:val="center"/>
            <w:shd w:val="clear" w:color="auto" w:fill="F2F2F2"/>
          </w:tcPr>
          <w:p>
            <w:pPr>
              <w:spacing w:after="0"/>
            </w:pPr>
            <w:r/>
            <w:r>
              <w:rPr>
                <w:b w:val="0"/>
                <w:sz w:val="17"/>
              </w:rPr>
              <w:t>ADR-06</w:t>
            </w:r>
          </w:p>
        </w:tc>
        <w:tc>
          <w:tcPr>
            <w:tcW w:type="dxa" w:w="2494"/>
            <w:vAlign w:val="center"/>
            <w:shd w:val="clear" w:color="auto" w:fill="F2F2F2"/>
          </w:tcPr>
          <w:p>
            <w:pPr>
              <w:spacing w:after="0"/>
            </w:pPr>
            <w:r/>
            <w:r>
              <w:rPr>
                <w:b w:val="0"/>
                <w:sz w:val="17"/>
              </w:rPr>
              <w:t>DMN rules for auction and eligibility parameters</w:t>
            </w:r>
          </w:p>
        </w:tc>
        <w:tc>
          <w:tcPr>
            <w:tcW w:type="dxa" w:w="3175"/>
            <w:vAlign w:val="center"/>
            <w:shd w:val="clear" w:color="auto" w:fill="F2F2F2"/>
          </w:tcPr>
          <w:p>
            <w:pPr>
              <w:spacing w:after="0"/>
            </w:pPr>
            <w:r/>
            <w:r>
              <w:rPr>
                <w:b w:val="0"/>
                <w:sz w:val="17"/>
              </w:rPr>
              <w:t>BoT rule changes need no code release</w:t>
            </w:r>
          </w:p>
        </w:tc>
        <w:tc>
          <w:tcPr>
            <w:tcW w:type="dxa" w:w="2835"/>
            <w:vAlign w:val="center"/>
            <w:shd w:val="clear" w:color="auto" w:fill="F2F2F2"/>
          </w:tcPr>
          <w:p>
            <w:pPr>
              <w:spacing w:after="0"/>
            </w:pPr>
            <w:r/>
            <w:r>
              <w:rPr>
                <w:b w:val="0"/>
                <w:sz w:val="17"/>
              </w:rPr>
              <w:t>Hard-coded configuration</w:t>
            </w:r>
          </w:p>
        </w:tc>
      </w:tr>
      <w:tr>
        <w:tc>
          <w:tcPr>
            <w:tcW w:type="dxa" w:w="907"/>
            <w:vAlign w:val="center"/>
          </w:tcPr>
          <w:p>
            <w:pPr>
              <w:spacing w:after="0"/>
            </w:pPr>
            <w:r/>
            <w:r>
              <w:rPr>
                <w:b w:val="0"/>
                <w:sz w:val="17"/>
              </w:rPr>
              <w:t>ADR-07</w:t>
            </w:r>
          </w:p>
        </w:tc>
        <w:tc>
          <w:tcPr>
            <w:tcW w:type="dxa" w:w="2494"/>
            <w:vAlign w:val="center"/>
          </w:tcPr>
          <w:p>
            <w:pPr>
              <w:spacing w:after="0"/>
            </w:pPr>
            <w:r/>
            <w:r>
              <w:rPr>
                <w:b w:val="0"/>
                <w:sz w:val="17"/>
              </w:rPr>
              <w:t>On-premise Kubernetes at TCB primary and DR sites</w:t>
            </w:r>
          </w:p>
        </w:tc>
        <w:tc>
          <w:tcPr>
            <w:tcW w:type="dxa" w:w="3175"/>
            <w:vAlign w:val="center"/>
          </w:tcPr>
          <w:p>
            <w:pPr>
              <w:spacing w:after="0"/>
            </w:pPr>
            <w:r/>
            <w:r>
              <w:rPr>
                <w:b w:val="0"/>
                <w:sz w:val="17"/>
              </w:rPr>
              <w:t>Data residency, BoT connectivity, TCB control</w:t>
            </w:r>
          </w:p>
        </w:tc>
        <w:tc>
          <w:tcPr>
            <w:tcW w:type="dxa" w:w="2835"/>
            <w:vAlign w:val="center"/>
          </w:tcPr>
          <w:p>
            <w:pPr>
              <w:spacing w:after="0"/>
            </w:pPr>
            <w:r/>
            <w:r>
              <w:rPr>
                <w:b w:val="0"/>
                <w:sz w:val="17"/>
              </w:rPr>
              <w:t>Public cloud (residency and connectivity constraints)</w:t>
            </w:r>
          </w:p>
        </w:tc>
      </w:tr>
      <w:tr>
        <w:tc>
          <w:tcPr>
            <w:tcW w:type="dxa" w:w="907"/>
            <w:vAlign w:val="center"/>
            <w:shd w:val="clear" w:color="auto" w:fill="F2F2F2"/>
          </w:tcPr>
          <w:p>
            <w:pPr>
              <w:spacing w:after="0"/>
            </w:pPr>
            <w:r/>
            <w:r>
              <w:rPr>
                <w:b w:val="0"/>
                <w:sz w:val="17"/>
              </w:rPr>
              <w:t>ADR-08</w:t>
            </w:r>
          </w:p>
        </w:tc>
        <w:tc>
          <w:tcPr>
            <w:tcW w:type="dxa" w:w="2494"/>
            <w:vAlign w:val="center"/>
            <w:shd w:val="clear" w:color="auto" w:fill="F2F2F2"/>
          </w:tcPr>
          <w:p>
            <w:pPr>
              <w:spacing w:after="0"/>
            </w:pPr>
            <w:r/>
            <w:r>
              <w:rPr>
                <w:b w:val="0"/>
                <w:sz w:val="17"/>
              </w:rPr>
              <w:t>Participant ID on all records (multi-participant ready)</w:t>
            </w:r>
          </w:p>
        </w:tc>
        <w:tc>
          <w:tcPr>
            <w:tcW w:type="dxa" w:w="3175"/>
            <w:vAlign w:val="center"/>
            <w:shd w:val="clear" w:color="auto" w:fill="F2F2F2"/>
          </w:tcPr>
          <w:p>
            <w:pPr>
              <w:spacing w:after="0"/>
            </w:pPr>
            <w:r/>
            <w:r>
              <w:rPr>
                <w:b w:val="0"/>
                <w:sz w:val="17"/>
              </w:rPr>
              <w:t>Other banks can join without redesign</w:t>
            </w:r>
          </w:p>
        </w:tc>
        <w:tc>
          <w:tcPr>
            <w:tcW w:type="dxa" w:w="2835"/>
            <w:vAlign w:val="center"/>
            <w:shd w:val="clear" w:color="auto" w:fill="F2F2F2"/>
          </w:tcPr>
          <w:p>
            <w:pPr>
              <w:spacing w:after="0"/>
            </w:pPr>
            <w:r/>
            <w:r>
              <w:rPr>
                <w:b w:val="0"/>
                <w:sz w:val="17"/>
              </w:rPr>
              <w:t>Single-tenant model</w:t>
            </w:r>
          </w:p>
        </w:tc>
      </w:tr>
      <w:tr>
        <w:tc>
          <w:tcPr>
            <w:tcW w:type="dxa" w:w="907"/>
            <w:vAlign w:val="center"/>
          </w:tcPr>
          <w:p>
            <w:pPr>
              <w:spacing w:after="0"/>
            </w:pPr>
            <w:r/>
            <w:r>
              <w:rPr>
                <w:b w:val="0"/>
                <w:sz w:val="17"/>
              </w:rPr>
              <w:t>ADR-09</w:t>
            </w:r>
          </w:p>
        </w:tc>
        <w:tc>
          <w:tcPr>
            <w:tcW w:type="dxa" w:w="2494"/>
            <w:vAlign w:val="center"/>
          </w:tcPr>
          <w:p>
            <w:pPr>
              <w:spacing w:after="0"/>
            </w:pPr>
            <w:r/>
            <w:r>
              <w:rPr>
                <w:b w:val="0"/>
                <w:sz w:val="17"/>
              </w:rPr>
              <w:t>Hash-chained, append-only audit store</w:t>
            </w:r>
          </w:p>
        </w:tc>
        <w:tc>
          <w:tcPr>
            <w:tcW w:type="dxa" w:w="3175"/>
            <w:vAlign w:val="center"/>
          </w:tcPr>
          <w:p>
            <w:pPr>
              <w:spacing w:after="0"/>
            </w:pPr>
            <w:r/>
            <w:r>
              <w:rPr>
                <w:b w:val="0"/>
                <w:sz w:val="17"/>
              </w:rPr>
              <w:t>Tamper evidence for regulators and disputes</w:t>
            </w:r>
          </w:p>
        </w:tc>
        <w:tc>
          <w:tcPr>
            <w:tcW w:type="dxa" w:w="2835"/>
            <w:vAlign w:val="center"/>
          </w:tcPr>
          <w:p>
            <w:pPr>
              <w:spacing w:after="0"/>
            </w:pPr>
            <w:r/>
            <w:r>
              <w:rPr>
                <w:b w:val="0"/>
                <w:sz w:val="17"/>
              </w:rPr>
              <w:t>Ordinary database audit tables</w:t>
            </w:r>
          </w:p>
        </w:tc>
      </w:tr>
    </w:tbl>
    <w:p>
      <w:pPr>
        <w:spacing w:after="40"/>
      </w:pPr>
    </w:p>
    <w:p>
      <w:pPr>
        <w:pStyle w:val="Heading1"/>
      </w:pPr>
      <w:r>
        <w:t>18. Technical Risks and Open Issues</w:t>
      </w:r>
    </w:p>
    <w:p>
      <w:pPr>
        <w:pStyle w:val="Heading2"/>
      </w:pPr>
      <w:r>
        <w:t>18.1 Technical Risks</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3175"/>
        <w:gridCol w:w="1020"/>
        <w:gridCol w:w="5216"/>
      </w:tblGrid>
      <w:tr>
        <w:trPr>
          <w:tblHeader w:val="true"/>
        </w:trPr>
        <w:tc>
          <w:tcPr>
            <w:tcW w:type="dxa" w:w="3175"/>
            <w:vAlign w:val="center"/>
            <w:shd w:val="clear" w:color="auto" w:fill="1F3864"/>
          </w:tcPr>
          <w:p>
            <w:pPr>
              <w:spacing w:after="0"/>
            </w:pPr>
            <w:r/>
            <w:r>
              <w:rPr>
                <w:b/>
                <w:color w:val="FFFFFF"/>
                <w:sz w:val="19"/>
              </w:rPr>
              <w:t>Risk</w:t>
            </w:r>
          </w:p>
        </w:tc>
        <w:tc>
          <w:tcPr>
            <w:tcW w:type="dxa" w:w="1020"/>
            <w:vAlign w:val="center"/>
            <w:shd w:val="clear" w:color="auto" w:fill="1F3864"/>
          </w:tcPr>
          <w:p>
            <w:pPr>
              <w:spacing w:after="0"/>
            </w:pPr>
            <w:r/>
            <w:r>
              <w:rPr>
                <w:b/>
                <w:color w:val="FFFFFF"/>
                <w:sz w:val="19"/>
              </w:rPr>
              <w:t>Impact</w:t>
            </w:r>
          </w:p>
        </w:tc>
        <w:tc>
          <w:tcPr>
            <w:tcW w:type="dxa" w:w="5216"/>
            <w:vAlign w:val="center"/>
            <w:shd w:val="clear" w:color="auto" w:fill="1F3864"/>
          </w:tcPr>
          <w:p>
            <w:pPr>
              <w:spacing w:after="0"/>
            </w:pPr>
            <w:r/>
            <w:r>
              <w:rPr>
                <w:b/>
                <w:color w:val="FFFFFF"/>
                <w:sz w:val="19"/>
              </w:rPr>
              <w:t>Mitigation</w:t>
            </w:r>
          </w:p>
        </w:tc>
      </w:tr>
      <w:tr>
        <w:tc>
          <w:tcPr>
            <w:tcW w:type="dxa" w:w="3175"/>
            <w:vAlign w:val="center"/>
          </w:tcPr>
          <w:p>
            <w:pPr>
              <w:spacing w:after="0"/>
            </w:pPr>
            <w:r/>
            <w:r>
              <w:rPr>
                <w:b w:val="0"/>
                <w:sz w:val="19"/>
              </w:rPr>
              <w:t>BoT winners/callback payloads lack per-account identifiers (see Appendix B)</w:t>
            </w:r>
          </w:p>
        </w:tc>
        <w:tc>
          <w:tcPr>
            <w:tcW w:type="dxa" w:w="1020"/>
            <w:vAlign w:val="center"/>
          </w:tcPr>
          <w:p>
            <w:pPr>
              <w:spacing w:after="0"/>
            </w:pPr>
            <w:r/>
            <w:r>
              <w:rPr>
                <w:b w:val="0"/>
                <w:sz w:val="19"/>
              </w:rPr>
              <w:t>High</w:t>
            </w:r>
          </w:p>
        </w:tc>
        <w:tc>
          <w:tcPr>
            <w:tcW w:type="dxa" w:w="5216"/>
            <w:vAlign w:val="center"/>
          </w:tcPr>
          <w:p>
            <w:pPr>
              <w:spacing w:after="0"/>
            </w:pPr>
            <w:r/>
            <w:r>
              <w:rPr>
                <w:b w:val="0"/>
                <w:sz w:val="19"/>
              </w:rPr>
              <w:t>Raise with BoT immediately; interim matching on batchReference + requestId + amount + price with manual review of ambiguous matches</w:t>
            </w:r>
          </w:p>
        </w:tc>
      </w:tr>
      <w:tr>
        <w:tc>
          <w:tcPr>
            <w:tcW w:type="dxa" w:w="3175"/>
            <w:vAlign w:val="center"/>
            <w:shd w:val="clear" w:color="auto" w:fill="F2F2F2"/>
          </w:tcPr>
          <w:p>
            <w:pPr>
              <w:spacing w:after="0"/>
            </w:pPr>
            <w:r/>
            <w:r>
              <w:rPr>
                <w:b w:val="0"/>
                <w:sz w:val="19"/>
              </w:rPr>
              <w:t>CDS account-opening and settlement interfaces not yet specified</w:t>
            </w:r>
          </w:p>
        </w:tc>
        <w:tc>
          <w:tcPr>
            <w:tcW w:type="dxa" w:w="1020"/>
            <w:vAlign w:val="center"/>
            <w:shd w:val="clear" w:color="auto" w:fill="F2F2F2"/>
          </w:tcPr>
          <w:p>
            <w:pPr>
              <w:spacing w:after="0"/>
            </w:pPr>
            <w:r/>
            <w:r>
              <w:rPr>
                <w:b w:val="0"/>
                <w:sz w:val="19"/>
              </w:rPr>
              <w:t>High</w:t>
            </w:r>
          </w:p>
        </w:tc>
        <w:tc>
          <w:tcPr>
            <w:tcW w:type="dxa" w:w="5216"/>
            <w:vAlign w:val="center"/>
            <w:shd w:val="clear" w:color="auto" w:fill="F2F2F2"/>
          </w:tcPr>
          <w:p>
            <w:pPr>
              <w:spacing w:after="0"/>
            </w:pPr>
            <w:r/>
            <w:r>
              <w:rPr>
                <w:b w:val="0"/>
                <w:sz w:val="19"/>
              </w:rPr>
              <w:t>Simulators and contract tests; API-or-file adapters (ADR-04)</w:t>
            </w:r>
          </w:p>
        </w:tc>
      </w:tr>
      <w:tr>
        <w:tc>
          <w:tcPr>
            <w:tcW w:type="dxa" w:w="3175"/>
            <w:vAlign w:val="center"/>
          </w:tcPr>
          <w:p>
            <w:pPr>
              <w:spacing w:after="0"/>
            </w:pPr>
            <w:r/>
            <w:r>
              <w:rPr>
                <w:b w:val="0"/>
                <w:sz w:val="19"/>
              </w:rPr>
              <w:t>BoT 300-second timestamp tolerance and 12-hour token expiry</w:t>
            </w:r>
          </w:p>
        </w:tc>
        <w:tc>
          <w:tcPr>
            <w:tcW w:type="dxa" w:w="1020"/>
            <w:vAlign w:val="center"/>
          </w:tcPr>
          <w:p>
            <w:pPr>
              <w:spacing w:after="0"/>
            </w:pPr>
            <w:r/>
            <w:r>
              <w:rPr>
                <w:b w:val="0"/>
                <w:sz w:val="19"/>
              </w:rPr>
              <w:t>Medium</w:t>
            </w:r>
          </w:p>
        </w:tc>
        <w:tc>
          <w:tcPr>
            <w:tcW w:type="dxa" w:w="5216"/>
            <w:vAlign w:val="center"/>
          </w:tcPr>
          <w:p>
            <w:pPr>
              <w:spacing w:after="0"/>
            </w:pPr>
            <w:r/>
            <w:r>
              <w:rPr>
                <w:b w:val="0"/>
                <w:sz w:val="19"/>
              </w:rPr>
              <w:t>NTP synchronisation and skew alerts; proactive token renewal</w:t>
            </w:r>
          </w:p>
        </w:tc>
      </w:tr>
      <w:tr>
        <w:tc>
          <w:tcPr>
            <w:tcW w:type="dxa" w:w="3175"/>
            <w:vAlign w:val="center"/>
            <w:shd w:val="clear" w:color="auto" w:fill="F2F2F2"/>
          </w:tcPr>
          <w:p>
            <w:pPr>
              <w:spacing w:after="0"/>
            </w:pPr>
            <w:r/>
            <w:r>
              <w:rPr>
                <w:b w:val="0"/>
                <w:sz w:val="19"/>
              </w:rPr>
              <w:t>CBS lacks API support for lien/hold operations</w:t>
            </w:r>
          </w:p>
        </w:tc>
        <w:tc>
          <w:tcPr>
            <w:tcW w:type="dxa" w:w="1020"/>
            <w:vAlign w:val="center"/>
            <w:shd w:val="clear" w:color="auto" w:fill="F2F2F2"/>
          </w:tcPr>
          <w:p>
            <w:pPr>
              <w:spacing w:after="0"/>
            </w:pPr>
            <w:r/>
            <w:r>
              <w:rPr>
                <w:b w:val="0"/>
                <w:sz w:val="19"/>
              </w:rPr>
              <w:t>High</w:t>
            </w:r>
          </w:p>
        </w:tc>
        <w:tc>
          <w:tcPr>
            <w:tcW w:type="dxa" w:w="5216"/>
            <w:vAlign w:val="center"/>
            <w:shd w:val="clear" w:color="auto" w:fill="F2F2F2"/>
          </w:tcPr>
          <w:p>
            <w:pPr>
              <w:spacing w:after="0"/>
            </w:pPr>
            <w:r/>
            <w:r>
              <w:rPr>
                <w:b w:val="0"/>
                <w:sz w:val="19"/>
              </w:rPr>
              <w:t>Fallback: a dedicated hold/suspense account model with GL-based controls</w:t>
            </w:r>
          </w:p>
        </w:tc>
      </w:tr>
      <w:tr>
        <w:tc>
          <w:tcPr>
            <w:tcW w:type="dxa" w:w="3175"/>
            <w:vAlign w:val="center"/>
          </w:tcPr>
          <w:p>
            <w:pPr>
              <w:spacing w:after="0"/>
            </w:pPr>
            <w:r/>
            <w:r>
              <w:rPr>
                <w:b w:val="0"/>
                <w:sz w:val="19"/>
              </w:rPr>
              <w:t>Auction-day load spike near cut-off</w:t>
            </w:r>
          </w:p>
        </w:tc>
        <w:tc>
          <w:tcPr>
            <w:tcW w:type="dxa" w:w="1020"/>
            <w:vAlign w:val="center"/>
          </w:tcPr>
          <w:p>
            <w:pPr>
              <w:spacing w:after="0"/>
            </w:pPr>
            <w:r/>
            <w:r>
              <w:rPr>
                <w:b w:val="0"/>
                <w:sz w:val="19"/>
              </w:rPr>
              <w:t>Medium</w:t>
            </w:r>
          </w:p>
        </w:tc>
        <w:tc>
          <w:tcPr>
            <w:tcW w:type="dxa" w:w="5216"/>
            <w:vAlign w:val="center"/>
          </w:tcPr>
          <w:p>
            <w:pPr>
              <w:spacing w:after="0"/>
            </w:pPr>
            <w:r/>
            <w:r>
              <w:rPr>
                <w:b w:val="0"/>
                <w:sz w:val="19"/>
              </w:rPr>
              <w:t>Queue-based buffering, autoscaling, load tests at 2× forecast peak</w:t>
            </w:r>
          </w:p>
        </w:tc>
      </w:tr>
      <w:tr>
        <w:tc>
          <w:tcPr>
            <w:tcW w:type="dxa" w:w="3175"/>
            <w:vAlign w:val="center"/>
            <w:shd w:val="clear" w:color="auto" w:fill="F2F2F2"/>
          </w:tcPr>
          <w:p>
            <w:pPr>
              <w:spacing w:after="0"/>
            </w:pPr>
            <w:r/>
            <w:r>
              <w:rPr>
                <w:b w:val="0"/>
                <w:sz w:val="19"/>
              </w:rPr>
              <w:t>Fraud or account takeover on remote channels</w:t>
            </w:r>
          </w:p>
        </w:tc>
        <w:tc>
          <w:tcPr>
            <w:tcW w:type="dxa" w:w="1020"/>
            <w:vAlign w:val="center"/>
            <w:shd w:val="clear" w:color="auto" w:fill="F2F2F2"/>
          </w:tcPr>
          <w:p>
            <w:pPr>
              <w:spacing w:after="0"/>
            </w:pPr>
            <w:r/>
            <w:r>
              <w:rPr>
                <w:b w:val="0"/>
                <w:sz w:val="19"/>
              </w:rPr>
              <w:t>Medium</w:t>
            </w:r>
          </w:p>
        </w:tc>
        <w:tc>
          <w:tcPr>
            <w:tcW w:type="dxa" w:w="5216"/>
            <w:vAlign w:val="center"/>
            <w:shd w:val="clear" w:color="auto" w:fill="F2F2F2"/>
          </w:tcPr>
          <w:p>
            <w:pPr>
              <w:spacing w:after="0"/>
            </w:pPr>
            <w:r/>
            <w:r>
              <w:rPr>
                <w:b w:val="0"/>
                <w:sz w:val="19"/>
              </w:rPr>
              <w:t>MFA, device binding, SIM-swap checks, velocity limits, fraud monitoring</w:t>
            </w:r>
          </w:p>
        </w:tc>
      </w:tr>
      <w:tr>
        <w:tc>
          <w:tcPr>
            <w:tcW w:type="dxa" w:w="3175"/>
            <w:vAlign w:val="center"/>
          </w:tcPr>
          <w:p>
            <w:pPr>
              <w:spacing w:after="0"/>
            </w:pPr>
            <w:r/>
            <w:r>
              <w:rPr>
                <w:b w:val="0"/>
                <w:sz w:val="19"/>
              </w:rPr>
              <w:t>USSD session timeouts on long journeys</w:t>
            </w:r>
          </w:p>
        </w:tc>
        <w:tc>
          <w:tcPr>
            <w:tcW w:type="dxa" w:w="1020"/>
            <w:vAlign w:val="center"/>
          </w:tcPr>
          <w:p>
            <w:pPr>
              <w:spacing w:after="0"/>
            </w:pPr>
            <w:r/>
            <w:r>
              <w:rPr>
                <w:b w:val="0"/>
                <w:sz w:val="19"/>
              </w:rPr>
              <w:t>Medium</w:t>
            </w:r>
          </w:p>
        </w:tc>
        <w:tc>
          <w:tcPr>
            <w:tcW w:type="dxa" w:w="5216"/>
            <w:vAlign w:val="center"/>
          </w:tcPr>
          <w:p>
            <w:pPr>
              <w:spacing w:after="0"/>
            </w:pPr>
            <w:r/>
            <w:r>
              <w:rPr>
                <w:b w:val="0"/>
                <w:sz w:val="19"/>
              </w:rPr>
              <w:t>Short menus, resumable sessions, complex actions pushed to other channels</w:t>
            </w:r>
          </w:p>
        </w:tc>
      </w:tr>
      <w:tr>
        <w:tc>
          <w:tcPr>
            <w:tcW w:type="dxa" w:w="3175"/>
            <w:vAlign w:val="center"/>
            <w:shd w:val="clear" w:color="auto" w:fill="F2F2F2"/>
          </w:tcPr>
          <w:p>
            <w:pPr>
              <w:spacing w:after="0"/>
            </w:pPr>
            <w:r/>
            <w:r>
              <w:rPr>
                <w:b w:val="0"/>
                <w:sz w:val="19"/>
              </w:rPr>
              <w:t>Dependence on third-party providers (MNO, WhatsApp BSP, NIDA)</w:t>
            </w:r>
          </w:p>
        </w:tc>
        <w:tc>
          <w:tcPr>
            <w:tcW w:type="dxa" w:w="1020"/>
            <w:vAlign w:val="center"/>
            <w:shd w:val="clear" w:color="auto" w:fill="F2F2F2"/>
          </w:tcPr>
          <w:p>
            <w:pPr>
              <w:spacing w:after="0"/>
            </w:pPr>
            <w:r/>
            <w:r>
              <w:rPr>
                <w:b w:val="0"/>
                <w:sz w:val="19"/>
              </w:rPr>
              <w:t>Medium</w:t>
            </w:r>
          </w:p>
        </w:tc>
        <w:tc>
          <w:tcPr>
            <w:tcW w:type="dxa" w:w="5216"/>
            <w:vAlign w:val="center"/>
            <w:shd w:val="clear" w:color="auto" w:fill="F2F2F2"/>
          </w:tcPr>
          <w:p>
            <w:pPr>
              <w:spacing w:after="0"/>
            </w:pPr>
            <w:r/>
            <w:r>
              <w:rPr>
                <w:b w:val="0"/>
                <w:sz w:val="19"/>
              </w:rPr>
              <w:t>Multi-provider SMS, graceful degradation, contractual SLAs</w:t>
            </w:r>
          </w:p>
        </w:tc>
      </w:tr>
    </w:tbl>
    <w:p>
      <w:pPr>
        <w:spacing w:after="40"/>
      </w:pPr>
    </w:p>
    <w:p>
      <w:pPr>
        <w:pStyle w:val="Heading2"/>
      </w:pPr>
      <w:r>
        <w:t>18.2 Open Issues to Resolve</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907"/>
        <w:gridCol w:w="6237"/>
        <w:gridCol w:w="2268"/>
      </w:tblGrid>
      <w:tr>
        <w:trPr>
          <w:tblHeader w:val="true"/>
        </w:trPr>
        <w:tc>
          <w:tcPr>
            <w:tcW w:type="dxa" w:w="907"/>
            <w:vAlign w:val="center"/>
            <w:shd w:val="clear" w:color="auto" w:fill="1F3864"/>
          </w:tcPr>
          <w:p>
            <w:pPr>
              <w:spacing w:after="0"/>
            </w:pPr>
            <w:r/>
            <w:r>
              <w:rPr>
                <w:b/>
                <w:color w:val="FFFFFF"/>
                <w:sz w:val="19"/>
              </w:rPr>
              <w:t>#</w:t>
            </w:r>
          </w:p>
        </w:tc>
        <w:tc>
          <w:tcPr>
            <w:tcW w:type="dxa" w:w="6236"/>
            <w:vAlign w:val="center"/>
            <w:shd w:val="clear" w:color="auto" w:fill="1F3864"/>
          </w:tcPr>
          <w:p>
            <w:pPr>
              <w:spacing w:after="0"/>
            </w:pPr>
            <w:r/>
            <w:r>
              <w:rPr>
                <w:b/>
                <w:color w:val="FFFFFF"/>
                <w:sz w:val="19"/>
              </w:rPr>
              <w:t>Open issue</w:t>
            </w:r>
          </w:p>
        </w:tc>
        <w:tc>
          <w:tcPr>
            <w:tcW w:type="dxa" w:w="2268"/>
            <w:vAlign w:val="center"/>
            <w:shd w:val="clear" w:color="auto" w:fill="1F3864"/>
          </w:tcPr>
          <w:p>
            <w:pPr>
              <w:spacing w:after="0"/>
            </w:pPr>
            <w:r/>
            <w:r>
              <w:rPr>
                <w:b/>
                <w:color w:val="FFFFFF"/>
                <w:sz w:val="19"/>
              </w:rPr>
              <w:t>Owner</w:t>
            </w:r>
          </w:p>
        </w:tc>
      </w:tr>
      <w:tr>
        <w:tc>
          <w:tcPr>
            <w:tcW w:type="dxa" w:w="907"/>
            <w:vAlign w:val="center"/>
          </w:tcPr>
          <w:p>
            <w:pPr>
              <w:spacing w:after="0"/>
            </w:pPr>
            <w:r/>
            <w:r>
              <w:rPr>
                <w:b w:val="0"/>
                <w:sz w:val="19"/>
              </w:rPr>
              <w:t>OI-01</w:t>
            </w:r>
          </w:p>
        </w:tc>
        <w:tc>
          <w:tcPr>
            <w:tcW w:type="dxa" w:w="6236"/>
            <w:vAlign w:val="center"/>
          </w:tcPr>
          <w:p>
            <w:pPr>
              <w:spacing w:after="0"/>
            </w:pPr>
            <w:r/>
            <w:r>
              <w:rPr>
                <w:b w:val="0"/>
                <w:sz w:val="19"/>
              </w:rPr>
              <w:t>Obtain BoT interfaces for CDS account opening, holdings and coupon/redemption data (not in R2)</w:t>
            </w:r>
          </w:p>
        </w:tc>
        <w:tc>
          <w:tcPr>
            <w:tcW w:type="dxa" w:w="2268"/>
            <w:vAlign w:val="center"/>
          </w:tcPr>
          <w:p>
            <w:pPr>
              <w:spacing w:after="0"/>
            </w:pPr>
            <w:r/>
            <w:r>
              <w:rPr>
                <w:b w:val="0"/>
                <w:sz w:val="19"/>
              </w:rPr>
              <w:t>TCB ICT + BoT</w:t>
            </w:r>
          </w:p>
        </w:tc>
      </w:tr>
      <w:tr>
        <w:tc>
          <w:tcPr>
            <w:tcW w:type="dxa" w:w="907"/>
            <w:vAlign w:val="center"/>
            <w:shd w:val="clear" w:color="auto" w:fill="F2F2F2"/>
          </w:tcPr>
          <w:p>
            <w:pPr>
              <w:spacing w:after="0"/>
            </w:pPr>
            <w:r/>
            <w:r>
              <w:rPr>
                <w:b w:val="0"/>
                <w:sz w:val="19"/>
              </w:rPr>
              <w:t>OI-02</w:t>
            </w:r>
          </w:p>
        </w:tc>
        <w:tc>
          <w:tcPr>
            <w:tcW w:type="dxa" w:w="6236"/>
            <w:vAlign w:val="center"/>
            <w:shd w:val="clear" w:color="auto" w:fill="F2F2F2"/>
          </w:tcPr>
          <w:p>
            <w:pPr>
              <w:spacing w:after="0"/>
            </w:pPr>
            <w:r/>
            <w:r>
              <w:rPr>
                <w:b w:val="0"/>
                <w:sz w:val="19"/>
              </w:rPr>
              <w:t>Confirm the settlement mechanism to BoT (TISS aggregate vs GePG control number per investor); R2 has no settlement endpoint</w:t>
            </w:r>
          </w:p>
        </w:tc>
        <w:tc>
          <w:tcPr>
            <w:tcW w:type="dxa" w:w="2268"/>
            <w:vAlign w:val="center"/>
            <w:shd w:val="clear" w:color="auto" w:fill="F2F2F2"/>
          </w:tcPr>
          <w:p>
            <w:pPr>
              <w:spacing w:after="0"/>
            </w:pPr>
            <w:r/>
            <w:r>
              <w:rPr>
                <w:b w:val="0"/>
                <w:sz w:val="19"/>
              </w:rPr>
              <w:t>TCB Treasury + BoT</w:t>
            </w:r>
          </w:p>
        </w:tc>
      </w:tr>
      <w:tr>
        <w:tc>
          <w:tcPr>
            <w:tcW w:type="dxa" w:w="907"/>
            <w:vAlign w:val="center"/>
          </w:tcPr>
          <w:p>
            <w:pPr>
              <w:spacing w:after="0"/>
            </w:pPr>
            <w:r/>
            <w:r>
              <w:rPr>
                <w:b w:val="0"/>
                <w:sz w:val="19"/>
              </w:rPr>
              <w:t>OI-03</w:t>
            </w:r>
          </w:p>
        </w:tc>
        <w:tc>
          <w:tcPr>
            <w:tcW w:type="dxa" w:w="6236"/>
            <w:vAlign w:val="center"/>
          </w:tcPr>
          <w:p>
            <w:pPr>
              <w:spacing w:after="0"/>
            </w:pPr>
            <w:r/>
            <w:r>
              <w:rPr>
                <w:b w:val="0"/>
                <w:sz w:val="19"/>
              </w:rPr>
              <w:t>Resolve the BoT API clarifications listed in Appendix B before building the Auction adapter</w:t>
            </w:r>
          </w:p>
        </w:tc>
        <w:tc>
          <w:tcPr>
            <w:tcW w:type="dxa" w:w="2268"/>
            <w:vAlign w:val="center"/>
          </w:tcPr>
          <w:p>
            <w:pPr>
              <w:spacing w:after="0"/>
            </w:pPr>
            <w:r/>
            <w:r>
              <w:rPr>
                <w:b w:val="0"/>
                <w:sz w:val="19"/>
              </w:rPr>
              <w:t>TCB ICT + BoT</w:t>
            </w:r>
          </w:p>
        </w:tc>
      </w:tr>
      <w:tr>
        <w:tc>
          <w:tcPr>
            <w:tcW w:type="dxa" w:w="907"/>
            <w:vAlign w:val="center"/>
            <w:shd w:val="clear" w:color="auto" w:fill="F2F2F2"/>
          </w:tcPr>
          <w:p>
            <w:pPr>
              <w:spacing w:after="0"/>
            </w:pPr>
            <w:r/>
            <w:r>
              <w:rPr>
                <w:b w:val="0"/>
                <w:sz w:val="19"/>
              </w:rPr>
              <w:t>OI-04</w:t>
            </w:r>
          </w:p>
        </w:tc>
        <w:tc>
          <w:tcPr>
            <w:tcW w:type="dxa" w:w="6236"/>
            <w:vAlign w:val="center"/>
            <w:shd w:val="clear" w:color="auto" w:fill="F2F2F2"/>
          </w:tcPr>
          <w:p>
            <w:pPr>
              <w:spacing w:after="0"/>
            </w:pPr>
            <w:r/>
            <w:r>
              <w:rPr>
                <w:b w:val="0"/>
                <w:sz w:val="19"/>
              </w:rPr>
              <w:t>Confirm CBS capabilities for lien, GL posting and account opening APIs</w:t>
            </w:r>
          </w:p>
        </w:tc>
        <w:tc>
          <w:tcPr>
            <w:tcW w:type="dxa" w:w="2268"/>
            <w:vAlign w:val="center"/>
            <w:shd w:val="clear" w:color="auto" w:fill="F2F2F2"/>
          </w:tcPr>
          <w:p>
            <w:pPr>
              <w:spacing w:after="0"/>
            </w:pPr>
            <w:r/>
            <w:r>
              <w:rPr>
                <w:b w:val="0"/>
                <w:sz w:val="19"/>
              </w:rPr>
              <w:t>TCB ICT</w:t>
            </w:r>
          </w:p>
        </w:tc>
      </w:tr>
      <w:tr>
        <w:tc>
          <w:tcPr>
            <w:tcW w:type="dxa" w:w="907"/>
            <w:vAlign w:val="center"/>
          </w:tcPr>
          <w:p>
            <w:pPr>
              <w:spacing w:after="0"/>
            </w:pPr>
            <w:r/>
            <w:r>
              <w:rPr>
                <w:b w:val="0"/>
                <w:sz w:val="19"/>
              </w:rPr>
              <w:t>OI-05</w:t>
            </w:r>
          </w:p>
        </w:tc>
        <w:tc>
          <w:tcPr>
            <w:tcW w:type="dxa" w:w="6236"/>
            <w:vAlign w:val="center"/>
          </w:tcPr>
          <w:p>
            <w:pPr>
              <w:spacing w:after="0"/>
            </w:pPr>
            <w:r/>
            <w:r>
              <w:rPr>
                <w:b w:val="0"/>
                <w:sz w:val="19"/>
              </w:rPr>
              <w:t>Standalone app vs module in the existing TCB mobile banking app</w:t>
            </w:r>
          </w:p>
        </w:tc>
        <w:tc>
          <w:tcPr>
            <w:tcW w:type="dxa" w:w="2268"/>
            <w:vAlign w:val="center"/>
          </w:tcPr>
          <w:p>
            <w:pPr>
              <w:spacing w:after="0"/>
            </w:pPr>
            <w:r/>
            <w:r>
              <w:rPr>
                <w:b w:val="0"/>
                <w:sz w:val="19"/>
              </w:rPr>
              <w:t>TCB Digital</w:t>
            </w:r>
          </w:p>
        </w:tc>
      </w:tr>
      <w:tr>
        <w:tc>
          <w:tcPr>
            <w:tcW w:type="dxa" w:w="907"/>
            <w:vAlign w:val="center"/>
            <w:shd w:val="clear" w:color="auto" w:fill="F2F2F2"/>
          </w:tcPr>
          <w:p>
            <w:pPr>
              <w:spacing w:after="0"/>
            </w:pPr>
            <w:r/>
            <w:r>
              <w:rPr>
                <w:b w:val="0"/>
                <w:sz w:val="19"/>
              </w:rPr>
              <w:t>OI-06</w:t>
            </w:r>
          </w:p>
        </w:tc>
        <w:tc>
          <w:tcPr>
            <w:tcW w:type="dxa" w:w="6236"/>
            <w:vAlign w:val="center"/>
            <w:shd w:val="clear" w:color="auto" w:fill="F2F2F2"/>
          </w:tcPr>
          <w:p>
            <w:pPr>
              <w:spacing w:after="0"/>
            </w:pPr>
            <w:r/>
            <w:r>
              <w:rPr>
                <w:b w:val="0"/>
                <w:sz w:val="19"/>
              </w:rPr>
              <w:t>Reuse TCB enterprise IAM, API gateway, SIEM and HSM vs dedicated instances</w:t>
            </w:r>
          </w:p>
        </w:tc>
        <w:tc>
          <w:tcPr>
            <w:tcW w:type="dxa" w:w="2268"/>
            <w:vAlign w:val="center"/>
            <w:shd w:val="clear" w:color="auto" w:fill="F2F2F2"/>
          </w:tcPr>
          <w:p>
            <w:pPr>
              <w:spacing w:after="0"/>
            </w:pPr>
            <w:r/>
            <w:r>
              <w:rPr>
                <w:b w:val="0"/>
                <w:sz w:val="19"/>
              </w:rPr>
              <w:t>TCB ICT / CISO</w:t>
            </w:r>
          </w:p>
        </w:tc>
      </w:tr>
      <w:tr>
        <w:tc>
          <w:tcPr>
            <w:tcW w:type="dxa" w:w="907"/>
            <w:vAlign w:val="center"/>
          </w:tcPr>
          <w:p>
            <w:pPr>
              <w:spacing w:after="0"/>
            </w:pPr>
            <w:r/>
            <w:r>
              <w:rPr>
                <w:b w:val="0"/>
                <w:sz w:val="19"/>
              </w:rPr>
              <w:t>OI-07</w:t>
            </w:r>
          </w:p>
        </w:tc>
        <w:tc>
          <w:tcPr>
            <w:tcW w:type="dxa" w:w="6236"/>
            <w:vAlign w:val="center"/>
          </w:tcPr>
          <w:p>
            <w:pPr>
              <w:spacing w:after="0"/>
            </w:pPr>
            <w:r/>
            <w:r>
              <w:rPr>
                <w:b w:val="0"/>
                <w:sz w:val="19"/>
              </w:rPr>
              <w:t>Fee and tax rules (commission, CDS fees, withholding tax) per investor category</w:t>
            </w:r>
          </w:p>
        </w:tc>
        <w:tc>
          <w:tcPr>
            <w:tcW w:type="dxa" w:w="2268"/>
            <w:vAlign w:val="center"/>
          </w:tcPr>
          <w:p>
            <w:pPr>
              <w:spacing w:after="0"/>
            </w:pPr>
            <w:r/>
            <w:r>
              <w:rPr>
                <w:b w:val="0"/>
                <w:sz w:val="19"/>
              </w:rPr>
              <w:t>TCB Finance / Compliance</w:t>
            </w:r>
          </w:p>
        </w:tc>
      </w:tr>
    </w:tbl>
    <w:p>
      <w:pPr>
        <w:spacing w:after="40"/>
      </w:pPr>
    </w:p>
    <w:p>
      <w:pPr>
        <w:pStyle w:val="Heading1"/>
      </w:pPr>
      <w:r>
        <w:t>Appendix B – BoT API Specification Review (R2)</w:t>
      </w:r>
    </w:p>
    <w:p>
      <w:r>
        <w:rPr>
          <w:i w:val="0"/>
        </w:rPr>
        <w:t>The table below lists gaps and inconsistencies found in BOT-SPEC-GSS-2026-v1.0 that affect the platform. Items marked High block straight-through processing and should be raised with BoT before the Auction adapter is built.</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567"/>
        <w:gridCol w:w="1474"/>
        <w:gridCol w:w="3061"/>
        <w:gridCol w:w="3175"/>
        <w:gridCol w:w="1134"/>
      </w:tblGrid>
      <w:tr>
        <w:trPr>
          <w:tblHeader w:val="true"/>
        </w:trPr>
        <w:tc>
          <w:tcPr>
            <w:tcW w:type="dxa" w:w="567"/>
            <w:vAlign w:val="center"/>
            <w:shd w:val="clear" w:color="auto" w:fill="1F3864"/>
          </w:tcPr>
          <w:p>
            <w:pPr>
              <w:spacing w:after="0"/>
            </w:pPr>
            <w:r/>
            <w:r>
              <w:rPr>
                <w:b/>
                <w:color w:val="FFFFFF"/>
                <w:sz w:val="16"/>
              </w:rPr>
              <w:t>#</w:t>
            </w:r>
          </w:p>
        </w:tc>
        <w:tc>
          <w:tcPr>
            <w:tcW w:type="dxa" w:w="1474"/>
            <w:vAlign w:val="center"/>
            <w:shd w:val="clear" w:color="auto" w:fill="1F3864"/>
          </w:tcPr>
          <w:p>
            <w:pPr>
              <w:spacing w:after="0"/>
            </w:pPr>
            <w:r/>
            <w:r>
              <w:rPr>
                <w:b/>
                <w:color w:val="FFFFFF"/>
                <w:sz w:val="16"/>
              </w:rPr>
              <w:t>Area</w:t>
            </w:r>
          </w:p>
        </w:tc>
        <w:tc>
          <w:tcPr>
            <w:tcW w:type="dxa" w:w="3061"/>
            <w:vAlign w:val="center"/>
            <w:shd w:val="clear" w:color="auto" w:fill="1F3864"/>
          </w:tcPr>
          <w:p>
            <w:pPr>
              <w:spacing w:after="0"/>
            </w:pPr>
            <w:r/>
            <w:r>
              <w:rPr>
                <w:b/>
                <w:color w:val="FFFFFF"/>
                <w:sz w:val="16"/>
              </w:rPr>
              <w:t>Observation in R2</w:t>
            </w:r>
          </w:p>
        </w:tc>
        <w:tc>
          <w:tcPr>
            <w:tcW w:type="dxa" w:w="3175"/>
            <w:vAlign w:val="center"/>
            <w:shd w:val="clear" w:color="auto" w:fill="1F3864"/>
          </w:tcPr>
          <w:p>
            <w:pPr>
              <w:spacing w:after="0"/>
            </w:pPr>
            <w:r/>
            <w:r>
              <w:rPr>
                <w:b/>
                <w:color w:val="FFFFFF"/>
                <w:sz w:val="16"/>
              </w:rPr>
              <w:t>Impact on TCB</w:t>
            </w:r>
          </w:p>
        </w:tc>
        <w:tc>
          <w:tcPr>
            <w:tcW w:type="dxa" w:w="1134"/>
            <w:vAlign w:val="center"/>
            <w:shd w:val="clear" w:color="auto" w:fill="1F3864"/>
          </w:tcPr>
          <w:p>
            <w:pPr>
              <w:spacing w:after="0"/>
            </w:pPr>
            <w:r/>
            <w:r>
              <w:rPr>
                <w:b/>
                <w:color w:val="FFFFFF"/>
                <w:sz w:val="16"/>
              </w:rPr>
              <w:t>Priority</w:t>
            </w:r>
          </w:p>
        </w:tc>
      </w:tr>
      <w:tr>
        <w:tc>
          <w:tcPr>
            <w:tcW w:type="dxa" w:w="567"/>
            <w:vAlign w:val="center"/>
          </w:tcPr>
          <w:p>
            <w:pPr>
              <w:spacing w:after="0"/>
            </w:pPr>
            <w:r/>
            <w:r>
              <w:rPr>
                <w:b w:val="0"/>
                <w:sz w:val="16"/>
              </w:rPr>
              <w:t>B1</w:t>
            </w:r>
          </w:p>
        </w:tc>
        <w:tc>
          <w:tcPr>
            <w:tcW w:type="dxa" w:w="1474"/>
            <w:vAlign w:val="center"/>
          </w:tcPr>
          <w:p>
            <w:pPr>
              <w:spacing w:after="0"/>
            </w:pPr>
            <w:r/>
            <w:r>
              <w:rPr>
                <w:b w:val="0"/>
                <w:sz w:val="16"/>
              </w:rPr>
              <w:t>Winners / allotment</w:t>
            </w:r>
          </w:p>
        </w:tc>
        <w:tc>
          <w:tcPr>
            <w:tcW w:type="dxa" w:w="3061"/>
            <w:vAlign w:val="center"/>
          </w:tcPr>
          <w:p>
            <w:pPr>
              <w:spacing w:after="0"/>
            </w:pPr>
            <w:r/>
            <w:r>
              <w:rPr>
                <w:b w:val="0"/>
                <w:sz w:val="16"/>
              </w:rPr>
              <w:t>GET /winners/{ISIN} and WinnerResponse return only investor name, amount, price and competitive flag, with no securityAccount or requestId.</w:t>
            </w:r>
          </w:p>
        </w:tc>
        <w:tc>
          <w:tcPr>
            <w:tcW w:type="dxa" w:w="3175"/>
            <w:vAlign w:val="center"/>
          </w:tcPr>
          <w:p>
            <w:pPr>
              <w:spacing w:after="0"/>
            </w:pPr>
            <w:r/>
            <w:r>
              <w:rPr>
                <w:b w:val="0"/>
                <w:sz w:val="16"/>
              </w:rPr>
              <w:t>TCB submits many investors in one batch; allotments cannot be matched to individual investors reliably.</w:t>
            </w:r>
          </w:p>
        </w:tc>
        <w:tc>
          <w:tcPr>
            <w:tcW w:type="dxa" w:w="1134"/>
            <w:vAlign w:val="center"/>
          </w:tcPr>
          <w:p>
            <w:pPr>
              <w:spacing w:after="0"/>
            </w:pPr>
            <w:r/>
            <w:r>
              <w:rPr>
                <w:b w:val="0"/>
                <w:sz w:val="16"/>
              </w:rPr>
              <w:t>High</w:t>
            </w:r>
          </w:p>
        </w:tc>
      </w:tr>
      <w:tr>
        <w:tc>
          <w:tcPr>
            <w:tcW w:type="dxa" w:w="567"/>
            <w:vAlign w:val="center"/>
            <w:shd w:val="clear" w:color="auto" w:fill="F2F2F2"/>
          </w:tcPr>
          <w:p>
            <w:pPr>
              <w:spacing w:after="0"/>
            </w:pPr>
            <w:r/>
            <w:r>
              <w:rPr>
                <w:b w:val="0"/>
                <w:sz w:val="16"/>
              </w:rPr>
              <w:t>B2</w:t>
            </w:r>
          </w:p>
        </w:tc>
        <w:tc>
          <w:tcPr>
            <w:tcW w:type="dxa" w:w="1474"/>
            <w:vAlign w:val="center"/>
            <w:shd w:val="clear" w:color="auto" w:fill="F2F2F2"/>
          </w:tcPr>
          <w:p>
            <w:pPr>
              <w:spacing w:after="0"/>
            </w:pPr>
            <w:r/>
            <w:r>
              <w:rPr>
                <w:b w:val="0"/>
                <w:sz w:val="16"/>
              </w:rPr>
              <w:t>Bid identifiers</w:t>
            </w:r>
          </w:p>
        </w:tc>
        <w:tc>
          <w:tcPr>
            <w:tcW w:type="dxa" w:w="3061"/>
            <w:vAlign w:val="center"/>
            <w:shd w:val="clear" w:color="auto" w:fill="F2F2F2"/>
          </w:tcPr>
          <w:p>
            <w:pPr>
              <w:spacing w:after="0"/>
            </w:pPr>
            <w:r/>
            <w:r>
              <w:rPr>
                <w:b w:val="0"/>
                <w:sz w:val="16"/>
              </w:rPr>
              <w:t>POST /bids returns only batch-level totals (the Model6 schema has a single requestId); PUT needs a per-bid {reference}.</w:t>
            </w:r>
          </w:p>
        </w:tc>
        <w:tc>
          <w:tcPr>
            <w:tcW w:type="dxa" w:w="3175"/>
            <w:vAlign w:val="center"/>
            <w:shd w:val="clear" w:color="auto" w:fill="F2F2F2"/>
          </w:tcPr>
          <w:p>
            <w:pPr>
              <w:spacing w:after="0"/>
            </w:pPr>
            <w:r/>
            <w:r>
              <w:rPr>
                <w:b w:val="0"/>
                <w:sz w:val="16"/>
              </w:rPr>
              <w:t>Per-bid BoT identifiers must be obtained via GET /bids/{ISIN}; the response should return a requestId per bid.</w:t>
            </w:r>
          </w:p>
        </w:tc>
        <w:tc>
          <w:tcPr>
            <w:tcW w:type="dxa" w:w="1134"/>
            <w:vAlign w:val="center"/>
            <w:shd w:val="clear" w:color="auto" w:fill="F2F2F2"/>
          </w:tcPr>
          <w:p>
            <w:pPr>
              <w:spacing w:after="0"/>
            </w:pPr>
            <w:r/>
            <w:r>
              <w:rPr>
                <w:b w:val="0"/>
                <w:sz w:val="16"/>
              </w:rPr>
              <w:t>High</w:t>
            </w:r>
          </w:p>
        </w:tc>
      </w:tr>
      <w:tr>
        <w:tc>
          <w:tcPr>
            <w:tcW w:type="dxa" w:w="567"/>
            <w:vAlign w:val="center"/>
          </w:tcPr>
          <w:p>
            <w:pPr>
              <w:spacing w:after="0"/>
            </w:pPr>
            <w:r/>
            <w:r>
              <w:rPr>
                <w:b w:val="0"/>
                <w:sz w:val="16"/>
              </w:rPr>
              <w:t>B3</w:t>
            </w:r>
          </w:p>
        </w:tc>
        <w:tc>
          <w:tcPr>
            <w:tcW w:type="dxa" w:w="1474"/>
            <w:vAlign w:val="center"/>
          </w:tcPr>
          <w:p>
            <w:pPr>
              <w:spacing w:after="0"/>
            </w:pPr>
            <w:r/>
            <w:r>
              <w:rPr>
                <w:b w:val="0"/>
                <w:sz w:val="16"/>
              </w:rPr>
              <w:t>Cancellation</w:t>
            </w:r>
          </w:p>
        </w:tc>
        <w:tc>
          <w:tcPr>
            <w:tcW w:type="dxa" w:w="3061"/>
            <w:vAlign w:val="center"/>
          </w:tcPr>
          <w:p>
            <w:pPr>
              <w:spacing w:after="0"/>
            </w:pPr>
            <w:r/>
            <w:r>
              <w:rPr>
                <w:b w:val="0"/>
                <w:sz w:val="16"/>
              </w:rPr>
              <w:t>The overview says bids can be cancelled, but no DELETE or cancel operation is defined; PUT only updates.</w:t>
            </w:r>
          </w:p>
        </w:tc>
        <w:tc>
          <w:tcPr>
            <w:tcW w:type="dxa" w:w="3175"/>
            <w:vAlign w:val="center"/>
          </w:tcPr>
          <w:p>
            <w:pPr>
              <w:spacing w:after="0"/>
            </w:pPr>
            <w:r/>
            <w:r>
              <w:rPr>
                <w:b w:val="0"/>
                <w:sz w:val="16"/>
              </w:rPr>
              <w:t>Investor withdrawals before cut-off cannot be sent to BoT.</w:t>
            </w:r>
          </w:p>
        </w:tc>
        <w:tc>
          <w:tcPr>
            <w:tcW w:type="dxa" w:w="1134"/>
            <w:vAlign w:val="center"/>
          </w:tcPr>
          <w:p>
            <w:pPr>
              <w:spacing w:after="0"/>
            </w:pPr>
            <w:r/>
            <w:r>
              <w:rPr>
                <w:b w:val="0"/>
                <w:sz w:val="16"/>
              </w:rPr>
              <w:t>High</w:t>
            </w:r>
          </w:p>
        </w:tc>
      </w:tr>
      <w:tr>
        <w:tc>
          <w:tcPr>
            <w:tcW w:type="dxa" w:w="567"/>
            <w:vAlign w:val="center"/>
            <w:shd w:val="clear" w:color="auto" w:fill="F2F2F2"/>
          </w:tcPr>
          <w:p>
            <w:pPr>
              <w:spacing w:after="0"/>
            </w:pPr>
            <w:r/>
            <w:r>
              <w:rPr>
                <w:b w:val="0"/>
                <w:sz w:val="16"/>
              </w:rPr>
              <w:t>B4</w:t>
            </w:r>
          </w:p>
        </w:tc>
        <w:tc>
          <w:tcPr>
            <w:tcW w:type="dxa" w:w="1474"/>
            <w:vAlign w:val="center"/>
            <w:shd w:val="clear" w:color="auto" w:fill="F2F2F2"/>
          </w:tcPr>
          <w:p>
            <w:pPr>
              <w:spacing w:after="0"/>
            </w:pPr>
            <w:r/>
            <w:r>
              <w:rPr>
                <w:b w:val="0"/>
                <w:sz w:val="16"/>
              </w:rPr>
              <w:t>Auction data</w:t>
            </w:r>
          </w:p>
        </w:tc>
        <w:tc>
          <w:tcPr>
            <w:tcW w:type="dxa" w:w="3061"/>
            <w:vAlign w:val="center"/>
            <w:shd w:val="clear" w:color="auto" w:fill="F2F2F2"/>
          </w:tcPr>
          <w:p>
            <w:pPr>
              <w:spacing w:after="0"/>
            </w:pPr>
            <w:r/>
            <w:r>
              <w:rPr>
                <w:b w:val="0"/>
                <w:sz w:val="16"/>
              </w:rPr>
              <w:t>AuctionItem has no cut-off time, minimum bid, coupon rate, auction number or settlement date, although section 5 says these are provided.</w:t>
            </w:r>
          </w:p>
        </w:tc>
        <w:tc>
          <w:tcPr>
            <w:tcW w:type="dxa" w:w="3175"/>
            <w:vAlign w:val="center"/>
            <w:shd w:val="clear" w:color="auto" w:fill="F2F2F2"/>
          </w:tcPr>
          <w:p>
            <w:pPr>
              <w:spacing w:after="0"/>
            </w:pPr>
            <w:r/>
            <w:r>
              <w:rPr>
                <w:b w:val="0"/>
                <w:sz w:val="16"/>
              </w:rPr>
              <w:t>Cut-off enforcement and T-Bond pricing need these fields; otherwise they must be keyed in manually.</w:t>
            </w:r>
          </w:p>
        </w:tc>
        <w:tc>
          <w:tcPr>
            <w:tcW w:type="dxa" w:w="1134"/>
            <w:vAlign w:val="center"/>
            <w:shd w:val="clear" w:color="auto" w:fill="F2F2F2"/>
          </w:tcPr>
          <w:p>
            <w:pPr>
              <w:spacing w:after="0"/>
            </w:pPr>
            <w:r/>
            <w:r>
              <w:rPr>
                <w:b w:val="0"/>
                <w:sz w:val="16"/>
              </w:rPr>
              <w:t>High</w:t>
            </w:r>
          </w:p>
        </w:tc>
      </w:tr>
      <w:tr>
        <w:tc>
          <w:tcPr>
            <w:tcW w:type="dxa" w:w="567"/>
            <w:vAlign w:val="center"/>
          </w:tcPr>
          <w:p>
            <w:pPr>
              <w:spacing w:after="0"/>
            </w:pPr>
            <w:r/>
            <w:r>
              <w:rPr>
                <w:b w:val="0"/>
                <w:sz w:val="16"/>
              </w:rPr>
              <w:t>B5</w:t>
            </w:r>
          </w:p>
        </w:tc>
        <w:tc>
          <w:tcPr>
            <w:tcW w:type="dxa" w:w="1474"/>
            <w:vAlign w:val="center"/>
          </w:tcPr>
          <w:p>
            <w:pPr>
              <w:spacing w:after="0"/>
            </w:pPr>
            <w:r/>
            <w:r>
              <w:rPr>
                <w:b w:val="0"/>
                <w:sz w:val="16"/>
              </w:rPr>
              <w:t>Non-competitive bids</w:t>
            </w:r>
          </w:p>
        </w:tc>
        <w:tc>
          <w:tcPr>
            <w:tcW w:type="dxa" w:w="3061"/>
            <w:vAlign w:val="center"/>
          </w:tcPr>
          <w:p>
            <w:pPr>
              <w:spacing w:after="0"/>
            </w:pPr>
            <w:r/>
            <w:r>
              <w:rPr>
                <w:b w:val="0"/>
                <w:sz w:val="16"/>
              </w:rPr>
              <w:t>price is required on every bid (Model3), including non-competitive bids, which are allotted at the weighted average price.</w:t>
            </w:r>
          </w:p>
        </w:tc>
        <w:tc>
          <w:tcPr>
            <w:tcW w:type="dxa" w:w="3175"/>
            <w:vAlign w:val="center"/>
          </w:tcPr>
          <w:p>
            <w:pPr>
              <w:spacing w:after="0"/>
            </w:pPr>
            <w:r/>
            <w:r>
              <w:rPr>
                <w:b w:val="0"/>
                <w:sz w:val="16"/>
              </w:rPr>
              <w:t>Unclear what price to send for competitive = N.</w:t>
            </w:r>
          </w:p>
        </w:tc>
        <w:tc>
          <w:tcPr>
            <w:tcW w:type="dxa" w:w="1134"/>
            <w:vAlign w:val="center"/>
          </w:tcPr>
          <w:p>
            <w:pPr>
              <w:spacing w:after="0"/>
            </w:pPr>
            <w:r/>
            <w:r>
              <w:rPr>
                <w:b w:val="0"/>
                <w:sz w:val="16"/>
              </w:rPr>
              <w:t>Medium</w:t>
            </w:r>
          </w:p>
        </w:tc>
      </w:tr>
      <w:tr>
        <w:tc>
          <w:tcPr>
            <w:tcW w:type="dxa" w:w="567"/>
            <w:vAlign w:val="center"/>
            <w:shd w:val="clear" w:color="auto" w:fill="F2F2F2"/>
          </w:tcPr>
          <w:p>
            <w:pPr>
              <w:spacing w:after="0"/>
            </w:pPr>
            <w:r/>
            <w:r>
              <w:rPr>
                <w:b w:val="0"/>
                <w:sz w:val="16"/>
              </w:rPr>
              <w:t>B6</w:t>
            </w:r>
          </w:p>
        </w:tc>
        <w:tc>
          <w:tcPr>
            <w:tcW w:type="dxa" w:w="1474"/>
            <w:vAlign w:val="center"/>
            <w:shd w:val="clear" w:color="auto" w:fill="F2F2F2"/>
          </w:tcPr>
          <w:p>
            <w:pPr>
              <w:spacing w:after="0"/>
            </w:pPr>
            <w:r/>
            <w:r>
              <w:rPr>
                <w:b w:val="0"/>
                <w:sz w:val="16"/>
              </w:rPr>
              <w:t>Callback contract</w:t>
            </w:r>
          </w:p>
        </w:tc>
        <w:tc>
          <w:tcPr>
            <w:tcW w:type="dxa" w:w="3061"/>
            <w:vAlign w:val="center"/>
            <w:shd w:val="clear" w:color="auto" w:fill="F2F2F2"/>
          </w:tcPr>
          <w:p>
            <w:pPr>
              <w:spacing w:after="0"/>
            </w:pPr>
            <w:r/>
            <w:r>
              <w:rPr>
                <w:b w:val="0"/>
                <w:sz w:val="16"/>
              </w:rPr>
              <w:t>The callback schema is generic (data: object); status 'allotted' and action 'approve' are not in the documented enums; event types, retry policy and ordering are not defined. The 401 text mentions HMAC while the header is RSA; the cURL sample shows the participant calling BoT's URL.</w:t>
            </w:r>
          </w:p>
        </w:tc>
        <w:tc>
          <w:tcPr>
            <w:tcW w:type="dxa" w:w="3175"/>
            <w:vAlign w:val="center"/>
            <w:shd w:val="clear" w:color="auto" w:fill="F2F2F2"/>
          </w:tcPr>
          <w:p>
            <w:pPr>
              <w:spacing w:after="0"/>
            </w:pPr>
            <w:r/>
            <w:r>
              <w:rPr>
                <w:b w:val="0"/>
                <w:sz w:val="16"/>
              </w:rPr>
              <w:t>Webhook handling needs a defined event catalogue, retry/idempotency rules and a single signature scheme.</w:t>
            </w:r>
          </w:p>
        </w:tc>
        <w:tc>
          <w:tcPr>
            <w:tcW w:type="dxa" w:w="1134"/>
            <w:vAlign w:val="center"/>
            <w:shd w:val="clear" w:color="auto" w:fill="F2F2F2"/>
          </w:tcPr>
          <w:p>
            <w:pPr>
              <w:spacing w:after="0"/>
            </w:pPr>
            <w:r/>
            <w:r>
              <w:rPr>
                <w:b w:val="0"/>
                <w:sz w:val="16"/>
              </w:rPr>
              <w:t>High</w:t>
            </w:r>
          </w:p>
        </w:tc>
      </w:tr>
      <w:tr>
        <w:tc>
          <w:tcPr>
            <w:tcW w:type="dxa" w:w="567"/>
            <w:vAlign w:val="center"/>
          </w:tcPr>
          <w:p>
            <w:pPr>
              <w:spacing w:after="0"/>
            </w:pPr>
            <w:r/>
            <w:r>
              <w:rPr>
                <w:b w:val="0"/>
                <w:sz w:val="16"/>
              </w:rPr>
              <w:t>B7</w:t>
            </w:r>
          </w:p>
        </w:tc>
        <w:tc>
          <w:tcPr>
            <w:tcW w:type="dxa" w:w="1474"/>
            <w:vAlign w:val="center"/>
          </w:tcPr>
          <w:p>
            <w:pPr>
              <w:spacing w:after="0"/>
            </w:pPr>
            <w:r/>
            <w:r>
              <w:rPr>
                <w:b w:val="0"/>
                <w:sz w:val="16"/>
              </w:rPr>
              <w:t>Result summary</w:t>
            </w:r>
          </w:p>
        </w:tc>
        <w:tc>
          <w:tcPr>
            <w:tcW w:type="dxa" w:w="3061"/>
            <w:vAlign w:val="center"/>
          </w:tcPr>
          <w:p>
            <w:pPr>
              <w:spacing w:after="0"/>
            </w:pPr>
            <w:r/>
            <w:r>
              <w:rPr>
                <w:b w:val="0"/>
                <w:sz w:val="16"/>
              </w:rPr>
              <w:t>Section 7 mentions cut-off yields and pro-rata percentages, but the schemas carry none of them.</w:t>
            </w:r>
          </w:p>
        </w:tc>
        <w:tc>
          <w:tcPr>
            <w:tcW w:type="dxa" w:w="3175"/>
            <w:vAlign w:val="center"/>
          </w:tcPr>
          <w:p>
            <w:pPr>
              <w:spacing w:after="0"/>
            </w:pPr>
            <w:r/>
            <w:r>
              <w:rPr>
                <w:b w:val="0"/>
                <w:sz w:val="16"/>
              </w:rPr>
              <w:t>Investor notices and BoT reporting need cut-off price, weighted average price/yield and pro-rata ratio.</w:t>
            </w:r>
          </w:p>
        </w:tc>
        <w:tc>
          <w:tcPr>
            <w:tcW w:type="dxa" w:w="1134"/>
            <w:vAlign w:val="center"/>
          </w:tcPr>
          <w:p>
            <w:pPr>
              <w:spacing w:after="0"/>
            </w:pPr>
            <w:r/>
            <w:r>
              <w:rPr>
                <w:b w:val="0"/>
                <w:sz w:val="16"/>
              </w:rPr>
              <w:t>Medium</w:t>
            </w:r>
          </w:p>
        </w:tc>
      </w:tr>
      <w:tr>
        <w:tc>
          <w:tcPr>
            <w:tcW w:type="dxa" w:w="567"/>
            <w:vAlign w:val="center"/>
            <w:shd w:val="clear" w:color="auto" w:fill="F2F2F2"/>
          </w:tcPr>
          <w:p>
            <w:pPr>
              <w:spacing w:after="0"/>
            </w:pPr>
            <w:r/>
            <w:r>
              <w:rPr>
                <w:b w:val="0"/>
                <w:sz w:val="16"/>
              </w:rPr>
              <w:t>B8</w:t>
            </w:r>
          </w:p>
        </w:tc>
        <w:tc>
          <w:tcPr>
            <w:tcW w:type="dxa" w:w="1474"/>
            <w:vAlign w:val="center"/>
            <w:shd w:val="clear" w:color="auto" w:fill="F2F2F2"/>
          </w:tcPr>
          <w:p>
            <w:pPr>
              <w:spacing w:after="0"/>
            </w:pPr>
            <w:r/>
            <w:r>
              <w:rPr>
                <w:b w:val="0"/>
                <w:sz w:val="16"/>
              </w:rPr>
              <w:t>Response shapes</w:t>
            </w:r>
          </w:p>
        </w:tc>
        <w:tc>
          <w:tcPr>
            <w:tcW w:type="dxa" w:w="3061"/>
            <w:vAlign w:val="center"/>
            <w:shd w:val="clear" w:color="auto" w:fill="F2F2F2"/>
          </w:tcPr>
          <w:p>
            <w:pPr>
              <w:spacing w:after="0"/>
            </w:pPr>
            <w:r/>
            <w:r>
              <w:rPr>
                <w:b w:val="0"/>
                <w:sz w:val="16"/>
              </w:rPr>
              <w:t>The schemas define {status, data} envelopes, but the /auctions and /bids samples return bare arrays; the /winners sample is keyed by ISIN.</w:t>
            </w:r>
          </w:p>
        </w:tc>
        <w:tc>
          <w:tcPr>
            <w:tcW w:type="dxa" w:w="3175"/>
            <w:vAlign w:val="center"/>
            <w:shd w:val="clear" w:color="auto" w:fill="F2F2F2"/>
          </w:tcPr>
          <w:p>
            <w:pPr>
              <w:spacing w:after="0"/>
            </w:pPr>
            <w:r/>
            <w:r>
              <w:rPr>
                <w:b w:val="0"/>
                <w:sz w:val="16"/>
              </w:rPr>
              <w:t>The adapter must handle both shapes until BoT confirms one.</w:t>
            </w:r>
          </w:p>
        </w:tc>
        <w:tc>
          <w:tcPr>
            <w:tcW w:type="dxa" w:w="1134"/>
            <w:vAlign w:val="center"/>
            <w:shd w:val="clear" w:color="auto" w:fill="F2F2F2"/>
          </w:tcPr>
          <w:p>
            <w:pPr>
              <w:spacing w:after="0"/>
            </w:pPr>
            <w:r/>
            <w:r>
              <w:rPr>
                <w:b w:val="0"/>
                <w:sz w:val="16"/>
              </w:rPr>
              <w:t>Medium</w:t>
            </w:r>
          </w:p>
        </w:tc>
      </w:tr>
      <w:tr>
        <w:tc>
          <w:tcPr>
            <w:tcW w:type="dxa" w:w="567"/>
            <w:vAlign w:val="center"/>
          </w:tcPr>
          <w:p>
            <w:pPr>
              <w:spacing w:after="0"/>
            </w:pPr>
            <w:r/>
            <w:r>
              <w:rPr>
                <w:b w:val="0"/>
                <w:sz w:val="16"/>
              </w:rPr>
              <w:t>B9</w:t>
            </w:r>
          </w:p>
        </w:tc>
        <w:tc>
          <w:tcPr>
            <w:tcW w:type="dxa" w:w="1474"/>
            <w:vAlign w:val="center"/>
          </w:tcPr>
          <w:p>
            <w:pPr>
              <w:spacing w:after="0"/>
            </w:pPr>
            <w:r/>
            <w:r>
              <w:rPr>
                <w:b w:val="0"/>
                <w:sz w:val="16"/>
              </w:rPr>
              <w:t>Sample data</w:t>
            </w:r>
          </w:p>
        </w:tc>
        <w:tc>
          <w:tcPr>
            <w:tcW w:type="dxa" w:w="3061"/>
            <w:vAlign w:val="center"/>
          </w:tcPr>
          <w:p>
            <w:pPr>
              <w:spacing w:after="0"/>
            </w:pPr>
            <w:r/>
            <w:r>
              <w:rPr>
                <w:b w:val="0"/>
                <w:sz w:val="16"/>
              </w:rPr>
              <w:t>POST /bids sample totalAmount (35,000,000) does not equal the bids sent (15,000,000); ISIN TZ1996106013 is a 364-day bill in one sample and a 20-year bond in another.</w:t>
            </w:r>
          </w:p>
        </w:tc>
        <w:tc>
          <w:tcPr>
            <w:tcW w:type="dxa" w:w="3175"/>
            <w:vAlign w:val="center"/>
          </w:tcPr>
          <w:p>
            <w:pPr>
              <w:spacing w:after="0"/>
            </w:pPr>
            <w:r/>
            <w:r>
              <w:rPr>
                <w:b w:val="0"/>
                <w:sz w:val="16"/>
              </w:rPr>
              <w:t>Low on its own, but test fixtures should come from the sandbox, not the document.</w:t>
            </w:r>
          </w:p>
        </w:tc>
        <w:tc>
          <w:tcPr>
            <w:tcW w:type="dxa" w:w="1134"/>
            <w:vAlign w:val="center"/>
          </w:tcPr>
          <w:p>
            <w:pPr>
              <w:spacing w:after="0"/>
            </w:pPr>
            <w:r/>
            <w:r>
              <w:rPr>
                <w:b w:val="0"/>
                <w:sz w:val="16"/>
              </w:rPr>
              <w:t>Low</w:t>
            </w:r>
          </w:p>
        </w:tc>
      </w:tr>
      <w:tr>
        <w:tc>
          <w:tcPr>
            <w:tcW w:type="dxa" w:w="567"/>
            <w:vAlign w:val="center"/>
            <w:shd w:val="clear" w:color="auto" w:fill="F2F2F2"/>
          </w:tcPr>
          <w:p>
            <w:pPr>
              <w:spacing w:after="0"/>
            </w:pPr>
            <w:r/>
            <w:r>
              <w:rPr>
                <w:b w:val="0"/>
                <w:sz w:val="16"/>
              </w:rPr>
              <w:t>B10</w:t>
            </w:r>
          </w:p>
        </w:tc>
        <w:tc>
          <w:tcPr>
            <w:tcW w:type="dxa" w:w="1474"/>
            <w:vAlign w:val="center"/>
            <w:shd w:val="clear" w:color="auto" w:fill="F2F2F2"/>
          </w:tcPr>
          <w:p>
            <w:pPr>
              <w:spacing w:after="0"/>
            </w:pPr>
            <w:r/>
            <w:r>
              <w:rPr>
                <w:b w:val="0"/>
                <w:sz w:val="16"/>
              </w:rPr>
              <w:t>Timestamp and signing</w:t>
            </w:r>
          </w:p>
        </w:tc>
        <w:tc>
          <w:tcPr>
            <w:tcW w:type="dxa" w:w="3061"/>
            <w:vAlign w:val="center"/>
            <w:shd w:val="clear" w:color="auto" w:fill="F2F2F2"/>
          </w:tcPr>
          <w:p>
            <w:pPr>
              <w:spacing w:after="0"/>
            </w:pPr>
            <w:r/>
            <w:r>
              <w:rPr>
                <w:b w:val="0"/>
                <w:sz w:val="16"/>
              </w:rPr>
              <w:t>x-timestamp may be ISO 8601 or epoch milliseconds; the Python sample signs path only, while the specification says PATH_AND_QUERY.</w:t>
            </w:r>
          </w:p>
        </w:tc>
        <w:tc>
          <w:tcPr>
            <w:tcW w:type="dxa" w:w="3175"/>
            <w:vAlign w:val="center"/>
            <w:shd w:val="clear" w:color="auto" w:fill="F2F2F2"/>
          </w:tcPr>
          <w:p>
            <w:pPr>
              <w:spacing w:after="0"/>
            </w:pPr>
            <w:r/>
            <w:r>
              <w:rPr>
                <w:b w:val="0"/>
                <w:sz w:val="16"/>
              </w:rPr>
              <w:t>Signature mismatches on GET requests with query strings; TCB will use ISO 8601 and sign path + query, subject to sandbox confirmation.</w:t>
            </w:r>
          </w:p>
        </w:tc>
        <w:tc>
          <w:tcPr>
            <w:tcW w:type="dxa" w:w="1134"/>
            <w:vAlign w:val="center"/>
            <w:shd w:val="clear" w:color="auto" w:fill="F2F2F2"/>
          </w:tcPr>
          <w:p>
            <w:pPr>
              <w:spacing w:after="0"/>
            </w:pPr>
            <w:r/>
            <w:r>
              <w:rPr>
                <w:b w:val="0"/>
                <w:sz w:val="16"/>
              </w:rPr>
              <w:t>Medium</w:t>
            </w:r>
          </w:p>
        </w:tc>
      </w:tr>
      <w:tr>
        <w:tc>
          <w:tcPr>
            <w:tcW w:type="dxa" w:w="567"/>
            <w:vAlign w:val="center"/>
          </w:tcPr>
          <w:p>
            <w:pPr>
              <w:spacing w:after="0"/>
            </w:pPr>
            <w:r/>
            <w:r>
              <w:rPr>
                <w:b w:val="0"/>
                <w:sz w:val="16"/>
              </w:rPr>
              <w:t>B11</w:t>
            </w:r>
          </w:p>
        </w:tc>
        <w:tc>
          <w:tcPr>
            <w:tcW w:type="dxa" w:w="1474"/>
            <w:vAlign w:val="center"/>
          </w:tcPr>
          <w:p>
            <w:pPr>
              <w:spacing w:after="0"/>
            </w:pPr>
            <w:r/>
            <w:r>
              <w:rPr>
                <w:b w:val="0"/>
                <w:sz w:val="16"/>
              </w:rPr>
              <w:t>Token refresh</w:t>
            </w:r>
          </w:p>
        </w:tc>
        <w:tc>
          <w:tcPr>
            <w:tcW w:type="dxa" w:w="3061"/>
            <w:vAlign w:val="center"/>
          </w:tcPr>
          <w:p>
            <w:pPr>
              <w:spacing w:after="0"/>
            </w:pPr>
            <w:r/>
            <w:r>
              <w:rPr>
                <w:b w:val="0"/>
                <w:sz w:val="16"/>
              </w:rPr>
              <w:t>A refreshToken is issued, but no refresh endpoint is documented.</w:t>
            </w:r>
          </w:p>
        </w:tc>
        <w:tc>
          <w:tcPr>
            <w:tcW w:type="dxa" w:w="3175"/>
            <w:vAlign w:val="center"/>
          </w:tcPr>
          <w:p>
            <w:pPr>
              <w:spacing w:after="0"/>
            </w:pPr>
            <w:r/>
            <w:r>
              <w:rPr>
                <w:b w:val="0"/>
                <w:sz w:val="16"/>
              </w:rPr>
              <w:t>The platform re-authenticates via POST /api/auth before expiry.</w:t>
            </w:r>
          </w:p>
        </w:tc>
        <w:tc>
          <w:tcPr>
            <w:tcW w:type="dxa" w:w="1134"/>
            <w:vAlign w:val="center"/>
          </w:tcPr>
          <w:p>
            <w:pPr>
              <w:spacing w:after="0"/>
            </w:pPr>
            <w:r/>
            <w:r>
              <w:rPr>
                <w:b w:val="0"/>
                <w:sz w:val="16"/>
              </w:rPr>
              <w:t>Low</w:t>
            </w:r>
          </w:p>
        </w:tc>
      </w:tr>
      <w:tr>
        <w:tc>
          <w:tcPr>
            <w:tcW w:type="dxa" w:w="567"/>
            <w:vAlign w:val="center"/>
            <w:shd w:val="clear" w:color="auto" w:fill="F2F2F2"/>
          </w:tcPr>
          <w:p>
            <w:pPr>
              <w:spacing w:after="0"/>
            </w:pPr>
            <w:r/>
            <w:r>
              <w:rPr>
                <w:b w:val="0"/>
                <w:sz w:val="16"/>
              </w:rPr>
              <w:t>B12</w:t>
            </w:r>
          </w:p>
        </w:tc>
        <w:tc>
          <w:tcPr>
            <w:tcW w:type="dxa" w:w="1474"/>
            <w:vAlign w:val="center"/>
            <w:shd w:val="clear" w:color="auto" w:fill="F2F2F2"/>
          </w:tcPr>
          <w:p>
            <w:pPr>
              <w:spacing w:after="0"/>
            </w:pPr>
            <w:r/>
            <w:r>
              <w:rPr>
                <w:b w:val="0"/>
                <w:sz w:val="16"/>
              </w:rPr>
              <w:t>Amounts</w:t>
            </w:r>
          </w:p>
        </w:tc>
        <w:tc>
          <w:tcPr>
            <w:tcW w:type="dxa" w:w="3061"/>
            <w:vAlign w:val="center"/>
            <w:shd w:val="clear" w:color="auto" w:fill="F2F2F2"/>
          </w:tcPr>
          <w:p>
            <w:pPr>
              <w:spacing w:after="0"/>
            </w:pPr>
            <w:r/>
            <w:r>
              <w:rPr>
                <w:b w:val="0"/>
                <w:sz w:val="16"/>
              </w:rPr>
              <w:t>Amounts are JSON numbers with no stated unit (face value vs consideration) and prices are strings in requests but numbers in responses.</w:t>
            </w:r>
          </w:p>
        </w:tc>
        <w:tc>
          <w:tcPr>
            <w:tcW w:type="dxa" w:w="3175"/>
            <w:vAlign w:val="center"/>
            <w:shd w:val="clear" w:color="auto" w:fill="F2F2F2"/>
          </w:tcPr>
          <w:p>
            <w:pPr>
              <w:spacing w:after="0"/>
            </w:pPr>
            <w:r/>
            <w:r>
              <w:rPr>
                <w:b w:val="0"/>
                <w:sz w:val="16"/>
              </w:rPr>
              <w:t>Risk of rounding and interpretation errors in settlement.</w:t>
            </w:r>
          </w:p>
        </w:tc>
        <w:tc>
          <w:tcPr>
            <w:tcW w:type="dxa" w:w="1134"/>
            <w:vAlign w:val="center"/>
            <w:shd w:val="clear" w:color="auto" w:fill="F2F2F2"/>
          </w:tcPr>
          <w:p>
            <w:pPr>
              <w:spacing w:after="0"/>
            </w:pPr>
            <w:r/>
            <w:r>
              <w:rPr>
                <w:b w:val="0"/>
                <w:sz w:val="16"/>
              </w:rPr>
              <w:t>Medium</w:t>
            </w:r>
          </w:p>
        </w:tc>
      </w:tr>
      <w:tr>
        <w:tc>
          <w:tcPr>
            <w:tcW w:type="dxa" w:w="567"/>
            <w:vAlign w:val="center"/>
          </w:tcPr>
          <w:p>
            <w:pPr>
              <w:spacing w:after="0"/>
            </w:pPr>
            <w:r/>
            <w:r>
              <w:rPr>
                <w:b w:val="0"/>
                <w:sz w:val="16"/>
              </w:rPr>
              <w:t>B13</w:t>
            </w:r>
          </w:p>
        </w:tc>
        <w:tc>
          <w:tcPr>
            <w:tcW w:type="dxa" w:w="1474"/>
            <w:vAlign w:val="center"/>
          </w:tcPr>
          <w:p>
            <w:pPr>
              <w:spacing w:after="0"/>
            </w:pPr>
            <w:r/>
            <w:r>
              <w:rPr>
                <w:b w:val="0"/>
                <w:sz w:val="16"/>
              </w:rPr>
              <w:t>Limits</w:t>
            </w:r>
          </w:p>
        </w:tc>
        <w:tc>
          <w:tcPr>
            <w:tcW w:type="dxa" w:w="3061"/>
            <w:vAlign w:val="center"/>
          </w:tcPr>
          <w:p>
            <w:pPr>
              <w:spacing w:after="0"/>
            </w:pPr>
            <w:r/>
            <w:r>
              <w:rPr>
                <w:b w:val="0"/>
                <w:sz w:val="16"/>
              </w:rPr>
              <w:t>No rate limits, maximum bids per batch, or batch size limits are documented.</w:t>
            </w:r>
          </w:p>
        </w:tc>
        <w:tc>
          <w:tcPr>
            <w:tcW w:type="dxa" w:w="3175"/>
            <w:vAlign w:val="center"/>
          </w:tcPr>
          <w:p>
            <w:pPr>
              <w:spacing w:after="0"/>
            </w:pPr>
            <w:r/>
            <w:r>
              <w:rPr>
                <w:b w:val="0"/>
                <w:sz w:val="16"/>
              </w:rPr>
              <w:t>Needed to size batching for large retail auctions.</w:t>
            </w:r>
          </w:p>
        </w:tc>
        <w:tc>
          <w:tcPr>
            <w:tcW w:type="dxa" w:w="1134"/>
            <w:vAlign w:val="center"/>
          </w:tcPr>
          <w:p>
            <w:pPr>
              <w:spacing w:after="0"/>
            </w:pPr>
            <w:r/>
            <w:r>
              <w:rPr>
                <w:b w:val="0"/>
                <w:sz w:val="16"/>
              </w:rPr>
              <w:t>Medium</w:t>
            </w:r>
          </w:p>
        </w:tc>
      </w:tr>
      <w:tr>
        <w:tc>
          <w:tcPr>
            <w:tcW w:type="dxa" w:w="567"/>
            <w:vAlign w:val="center"/>
            <w:shd w:val="clear" w:color="auto" w:fill="F2F2F2"/>
          </w:tcPr>
          <w:p>
            <w:pPr>
              <w:spacing w:after="0"/>
            </w:pPr>
            <w:r/>
            <w:r>
              <w:rPr>
                <w:b w:val="0"/>
                <w:sz w:val="16"/>
              </w:rPr>
              <w:t>B14</w:t>
            </w:r>
          </w:p>
        </w:tc>
        <w:tc>
          <w:tcPr>
            <w:tcW w:type="dxa" w:w="1474"/>
            <w:vAlign w:val="center"/>
            <w:shd w:val="clear" w:color="auto" w:fill="F2F2F2"/>
          </w:tcPr>
          <w:p>
            <w:pPr>
              <w:spacing w:after="0"/>
            </w:pPr>
            <w:r/>
            <w:r>
              <w:rPr>
                <w:b w:val="0"/>
                <w:sz w:val="16"/>
              </w:rPr>
              <w:t>Out of scope of R2</w:t>
            </w:r>
          </w:p>
        </w:tc>
        <w:tc>
          <w:tcPr>
            <w:tcW w:type="dxa" w:w="3061"/>
            <w:vAlign w:val="center"/>
            <w:shd w:val="clear" w:color="auto" w:fill="F2F2F2"/>
          </w:tcPr>
          <w:p>
            <w:pPr>
              <w:spacing w:after="0"/>
            </w:pPr>
            <w:r/>
            <w:r>
              <w:rPr>
                <w:b w:val="0"/>
                <w:sz w:val="16"/>
              </w:rPr>
              <w:t>No endpoints for CDS account opening, holdings, statements, coupons/redemptions or settlement.</w:t>
            </w:r>
          </w:p>
        </w:tc>
        <w:tc>
          <w:tcPr>
            <w:tcW w:type="dxa" w:w="3175"/>
            <w:vAlign w:val="center"/>
            <w:shd w:val="clear" w:color="auto" w:fill="F2F2F2"/>
          </w:tcPr>
          <w:p>
            <w:pPr>
              <w:spacing w:after="0"/>
            </w:pPr>
            <w:r/>
            <w:r>
              <w:rPr>
                <w:b w:val="0"/>
                <w:sz w:val="16"/>
              </w:rPr>
              <w:t>Covered by OI-01 and OI-02.</w:t>
            </w:r>
          </w:p>
        </w:tc>
        <w:tc>
          <w:tcPr>
            <w:tcW w:type="dxa" w:w="1134"/>
            <w:vAlign w:val="center"/>
            <w:shd w:val="clear" w:color="auto" w:fill="F2F2F2"/>
          </w:tcPr>
          <w:p>
            <w:pPr>
              <w:spacing w:after="0"/>
            </w:pPr>
            <w:r/>
            <w:r>
              <w:rPr>
                <w:b w:val="0"/>
                <w:sz w:val="16"/>
              </w:rPr>
              <w:t>High</w:t>
            </w:r>
          </w:p>
        </w:tc>
      </w:tr>
    </w:tbl>
    <w:p>
      <w:pPr>
        <w:spacing w:after="40"/>
      </w:pPr>
    </w:p>
    <w:p>
      <w:pPr>
        <w:pStyle w:val="Heading1"/>
      </w:pPr>
      <w:r>
        <w:t>Appendix A – Glossary</w:t>
      </w:r>
    </w:p>
    <w:tbl>
      <w:tblPr>
        <w:tblStyle w:val="TableGrid"/>
        <w:jc w:val="center"/>
        <w:tblLook w:firstColumn="1" w:firstRow="1" w:lastColumn="0" w:lastRow="0" w:noHBand="0" w:noVBand="1" w:val="04A0"/>
        <w:tblCellMar>
          <w:top w:w="60" w:type="dxa"/>
          <w:left w:w="90" w:type="dxa"/>
          <w:bottom w:w="60" w:type="dxa"/>
          <w:right w:w="90" w:type="dxa"/>
        </w:tblCellMar>
        <w:tblW w:w="9412" w:type="dxa"/>
        <w:tblLayout w:type="fixed"/>
      </w:tblPr>
      <w:tblGrid>
        <w:gridCol w:w="2268"/>
        <w:gridCol w:w="7144"/>
      </w:tblGrid>
      <w:tr>
        <w:trPr>
          <w:tblHeader w:val="true"/>
        </w:trPr>
        <w:tc>
          <w:tcPr>
            <w:tcW w:type="dxa" w:w="2268"/>
            <w:vAlign w:val="center"/>
            <w:shd w:val="clear" w:color="auto" w:fill="1F3864"/>
          </w:tcPr>
          <w:p>
            <w:pPr>
              <w:spacing w:after="0"/>
            </w:pPr>
            <w:r/>
            <w:r>
              <w:rPr>
                <w:b/>
                <w:color w:val="FFFFFF"/>
                <w:sz w:val="19"/>
              </w:rPr>
              <w:t>Term</w:t>
            </w:r>
          </w:p>
        </w:tc>
        <w:tc>
          <w:tcPr>
            <w:tcW w:type="dxa" w:w="7143"/>
            <w:vAlign w:val="center"/>
            <w:shd w:val="clear" w:color="auto" w:fill="1F3864"/>
          </w:tcPr>
          <w:p>
            <w:pPr>
              <w:spacing w:after="0"/>
            </w:pPr>
            <w:r/>
            <w:r>
              <w:rPr>
                <w:b/>
                <w:color w:val="FFFFFF"/>
                <w:sz w:val="19"/>
              </w:rPr>
              <w:t>Meaning</w:t>
            </w:r>
          </w:p>
        </w:tc>
      </w:tr>
      <w:tr>
        <w:tc>
          <w:tcPr>
            <w:tcW w:type="dxa" w:w="2268"/>
            <w:vAlign w:val="center"/>
          </w:tcPr>
          <w:p>
            <w:pPr>
              <w:spacing w:after="0"/>
            </w:pPr>
            <w:r/>
            <w:r>
              <w:rPr>
                <w:b w:val="0"/>
                <w:sz w:val="19"/>
              </w:rPr>
              <w:t>BoT</w:t>
            </w:r>
          </w:p>
        </w:tc>
        <w:tc>
          <w:tcPr>
            <w:tcW w:type="dxa" w:w="7143"/>
            <w:vAlign w:val="center"/>
          </w:tcPr>
          <w:p>
            <w:pPr>
              <w:spacing w:after="0"/>
            </w:pPr>
            <w:r/>
            <w:r>
              <w:rPr>
                <w:b w:val="0"/>
                <w:sz w:val="19"/>
              </w:rPr>
              <w:t>Bank of Tanzania</w:t>
            </w:r>
          </w:p>
        </w:tc>
      </w:tr>
      <w:tr>
        <w:tc>
          <w:tcPr>
            <w:tcW w:type="dxa" w:w="2268"/>
            <w:vAlign w:val="center"/>
            <w:shd w:val="clear" w:color="auto" w:fill="F2F2F2"/>
          </w:tcPr>
          <w:p>
            <w:pPr>
              <w:spacing w:after="0"/>
            </w:pPr>
            <w:r/>
            <w:r>
              <w:rPr>
                <w:b w:val="0"/>
                <w:sz w:val="19"/>
              </w:rPr>
              <w:t>CBS</w:t>
            </w:r>
          </w:p>
        </w:tc>
        <w:tc>
          <w:tcPr>
            <w:tcW w:type="dxa" w:w="7143"/>
            <w:vAlign w:val="center"/>
            <w:shd w:val="clear" w:color="auto" w:fill="F2F2F2"/>
          </w:tcPr>
          <w:p>
            <w:pPr>
              <w:spacing w:after="0"/>
            </w:pPr>
            <w:r/>
            <w:r>
              <w:rPr>
                <w:b w:val="0"/>
                <w:sz w:val="19"/>
              </w:rPr>
              <w:t>Core Banking System</w:t>
            </w:r>
          </w:p>
        </w:tc>
      </w:tr>
      <w:tr>
        <w:tc>
          <w:tcPr>
            <w:tcW w:type="dxa" w:w="2268"/>
            <w:vAlign w:val="center"/>
          </w:tcPr>
          <w:p>
            <w:pPr>
              <w:spacing w:after="0"/>
            </w:pPr>
            <w:r/>
            <w:r>
              <w:rPr>
                <w:b w:val="0"/>
                <w:sz w:val="19"/>
              </w:rPr>
              <w:t>CDS / CSD</w:t>
            </w:r>
          </w:p>
        </w:tc>
        <w:tc>
          <w:tcPr>
            <w:tcW w:type="dxa" w:w="7143"/>
            <w:vAlign w:val="center"/>
          </w:tcPr>
          <w:p>
            <w:pPr>
              <w:spacing w:after="0"/>
            </w:pPr>
            <w:r/>
            <w:r>
              <w:rPr>
                <w:b w:val="0"/>
                <w:sz w:val="19"/>
              </w:rPr>
              <w:t>Central Depository System / Central Securities Depository</w:t>
            </w:r>
          </w:p>
        </w:tc>
      </w:tr>
      <w:tr>
        <w:tc>
          <w:tcPr>
            <w:tcW w:type="dxa" w:w="2268"/>
            <w:vAlign w:val="center"/>
            <w:shd w:val="clear" w:color="auto" w:fill="F2F2F2"/>
          </w:tcPr>
          <w:p>
            <w:pPr>
              <w:spacing w:after="0"/>
            </w:pPr>
            <w:r/>
            <w:r>
              <w:rPr>
                <w:b w:val="0"/>
                <w:sz w:val="19"/>
              </w:rPr>
              <w:t>T-Bill / T-Bond</w:t>
            </w:r>
          </w:p>
        </w:tc>
        <w:tc>
          <w:tcPr>
            <w:tcW w:type="dxa" w:w="7143"/>
            <w:vAlign w:val="center"/>
            <w:shd w:val="clear" w:color="auto" w:fill="F2F2F2"/>
          </w:tcPr>
          <w:p>
            <w:pPr>
              <w:spacing w:after="0"/>
            </w:pPr>
            <w:r/>
            <w:r>
              <w:rPr>
                <w:b w:val="0"/>
                <w:sz w:val="19"/>
              </w:rPr>
              <w:t>Treasury Bill (short-term, discounted) / Treasury Bond (long-term, coupon-bearing)</w:t>
            </w:r>
          </w:p>
        </w:tc>
      </w:tr>
      <w:tr>
        <w:tc>
          <w:tcPr>
            <w:tcW w:type="dxa" w:w="2268"/>
            <w:vAlign w:val="center"/>
          </w:tcPr>
          <w:p>
            <w:pPr>
              <w:spacing w:after="0"/>
            </w:pPr>
            <w:r/>
            <w:r>
              <w:rPr>
                <w:b w:val="0"/>
                <w:sz w:val="19"/>
              </w:rPr>
              <w:t>TISS</w:t>
            </w:r>
          </w:p>
        </w:tc>
        <w:tc>
          <w:tcPr>
            <w:tcW w:type="dxa" w:w="7143"/>
            <w:vAlign w:val="center"/>
          </w:tcPr>
          <w:p>
            <w:pPr>
              <w:spacing w:after="0"/>
            </w:pPr>
            <w:r/>
            <w:r>
              <w:rPr>
                <w:b w:val="0"/>
                <w:sz w:val="19"/>
              </w:rPr>
              <w:t>Tanzania Interbank Settlement System (RTGS)</w:t>
            </w:r>
          </w:p>
        </w:tc>
      </w:tr>
      <w:tr>
        <w:tc>
          <w:tcPr>
            <w:tcW w:type="dxa" w:w="2268"/>
            <w:vAlign w:val="center"/>
            <w:shd w:val="clear" w:color="auto" w:fill="F2F2F2"/>
          </w:tcPr>
          <w:p>
            <w:pPr>
              <w:spacing w:after="0"/>
            </w:pPr>
            <w:r/>
            <w:r>
              <w:rPr>
                <w:b w:val="0"/>
                <w:sz w:val="19"/>
              </w:rPr>
              <w:t>TIPS</w:t>
            </w:r>
          </w:p>
        </w:tc>
        <w:tc>
          <w:tcPr>
            <w:tcW w:type="dxa" w:w="7143"/>
            <w:vAlign w:val="center"/>
            <w:shd w:val="clear" w:color="auto" w:fill="F2F2F2"/>
          </w:tcPr>
          <w:p>
            <w:pPr>
              <w:spacing w:after="0"/>
            </w:pPr>
            <w:r/>
            <w:r>
              <w:rPr>
                <w:b w:val="0"/>
                <w:sz w:val="19"/>
              </w:rPr>
              <w:t>Tanzania Instant Payment System</w:t>
            </w:r>
          </w:p>
        </w:tc>
      </w:tr>
      <w:tr>
        <w:tc>
          <w:tcPr>
            <w:tcW w:type="dxa" w:w="2268"/>
            <w:vAlign w:val="center"/>
          </w:tcPr>
          <w:p>
            <w:pPr>
              <w:spacing w:after="0"/>
            </w:pPr>
            <w:r/>
            <w:r>
              <w:rPr>
                <w:b w:val="0"/>
                <w:sz w:val="19"/>
              </w:rPr>
              <w:t>GePG</w:t>
            </w:r>
          </w:p>
        </w:tc>
        <w:tc>
          <w:tcPr>
            <w:tcW w:type="dxa" w:w="7143"/>
            <w:vAlign w:val="center"/>
          </w:tcPr>
          <w:p>
            <w:pPr>
              <w:spacing w:after="0"/>
            </w:pPr>
            <w:r/>
            <w:r>
              <w:rPr>
                <w:b w:val="0"/>
                <w:sz w:val="19"/>
              </w:rPr>
              <w:t>Government Electronic Payment Gateway</w:t>
            </w:r>
          </w:p>
        </w:tc>
      </w:tr>
      <w:tr>
        <w:tc>
          <w:tcPr>
            <w:tcW w:type="dxa" w:w="2268"/>
            <w:vAlign w:val="center"/>
            <w:shd w:val="clear" w:color="auto" w:fill="F2F2F2"/>
          </w:tcPr>
          <w:p>
            <w:pPr>
              <w:spacing w:after="0"/>
            </w:pPr>
            <w:r/>
            <w:r>
              <w:rPr>
                <w:b w:val="0"/>
                <w:sz w:val="19"/>
              </w:rPr>
              <w:t>NIDA</w:t>
            </w:r>
          </w:p>
        </w:tc>
        <w:tc>
          <w:tcPr>
            <w:tcW w:type="dxa" w:w="7143"/>
            <w:vAlign w:val="center"/>
            <w:shd w:val="clear" w:color="auto" w:fill="F2F2F2"/>
          </w:tcPr>
          <w:p>
            <w:pPr>
              <w:spacing w:after="0"/>
            </w:pPr>
            <w:r/>
            <w:r>
              <w:rPr>
                <w:b w:val="0"/>
                <w:sz w:val="19"/>
              </w:rPr>
              <w:t>National Identification Authority</w:t>
            </w:r>
          </w:p>
        </w:tc>
      </w:tr>
      <w:tr>
        <w:tc>
          <w:tcPr>
            <w:tcW w:type="dxa" w:w="2268"/>
            <w:vAlign w:val="center"/>
          </w:tcPr>
          <w:p>
            <w:pPr>
              <w:spacing w:after="0"/>
            </w:pPr>
            <w:r/>
            <w:r>
              <w:rPr>
                <w:b w:val="0"/>
                <w:sz w:val="19"/>
              </w:rPr>
              <w:t>BFF</w:t>
            </w:r>
          </w:p>
        </w:tc>
        <w:tc>
          <w:tcPr>
            <w:tcW w:type="dxa" w:w="7143"/>
            <w:vAlign w:val="center"/>
          </w:tcPr>
          <w:p>
            <w:pPr>
              <w:spacing w:after="0"/>
            </w:pPr>
            <w:r/>
            <w:r>
              <w:rPr>
                <w:b w:val="0"/>
                <w:sz w:val="19"/>
              </w:rPr>
              <w:t>Backend-for-Frontend – channel-specific API layer</w:t>
            </w:r>
          </w:p>
        </w:tc>
      </w:tr>
      <w:tr>
        <w:tc>
          <w:tcPr>
            <w:tcW w:type="dxa" w:w="2268"/>
            <w:vAlign w:val="center"/>
            <w:shd w:val="clear" w:color="auto" w:fill="F2F2F2"/>
          </w:tcPr>
          <w:p>
            <w:pPr>
              <w:spacing w:after="0"/>
            </w:pPr>
            <w:r/>
            <w:r>
              <w:rPr>
                <w:b w:val="0"/>
                <w:sz w:val="19"/>
              </w:rPr>
              <w:t>mTLS</w:t>
            </w:r>
          </w:p>
        </w:tc>
        <w:tc>
          <w:tcPr>
            <w:tcW w:type="dxa" w:w="7143"/>
            <w:vAlign w:val="center"/>
            <w:shd w:val="clear" w:color="auto" w:fill="F2F2F2"/>
          </w:tcPr>
          <w:p>
            <w:pPr>
              <w:spacing w:after="0"/>
            </w:pPr>
            <w:r/>
            <w:r>
              <w:rPr>
                <w:b w:val="0"/>
                <w:sz w:val="19"/>
              </w:rPr>
              <w:t>Mutual Transport Layer Security</w:t>
            </w:r>
          </w:p>
        </w:tc>
      </w:tr>
      <w:tr>
        <w:tc>
          <w:tcPr>
            <w:tcW w:type="dxa" w:w="2268"/>
            <w:vAlign w:val="center"/>
          </w:tcPr>
          <w:p>
            <w:pPr>
              <w:spacing w:after="0"/>
            </w:pPr>
            <w:r/>
            <w:r>
              <w:rPr>
                <w:b w:val="0"/>
                <w:sz w:val="19"/>
              </w:rPr>
              <w:t>HSM</w:t>
            </w:r>
          </w:p>
        </w:tc>
        <w:tc>
          <w:tcPr>
            <w:tcW w:type="dxa" w:w="7143"/>
            <w:vAlign w:val="center"/>
          </w:tcPr>
          <w:p>
            <w:pPr>
              <w:spacing w:after="0"/>
            </w:pPr>
            <w:r/>
            <w:r>
              <w:rPr>
                <w:b w:val="0"/>
                <w:sz w:val="19"/>
              </w:rPr>
              <w:t>Hardware Security Module</w:t>
            </w:r>
          </w:p>
        </w:tc>
      </w:tr>
      <w:tr>
        <w:tc>
          <w:tcPr>
            <w:tcW w:type="dxa" w:w="2268"/>
            <w:vAlign w:val="center"/>
            <w:shd w:val="clear" w:color="auto" w:fill="F2F2F2"/>
          </w:tcPr>
          <w:p>
            <w:pPr>
              <w:spacing w:after="0"/>
            </w:pPr>
            <w:r/>
            <w:r>
              <w:rPr>
                <w:b w:val="0"/>
                <w:sz w:val="19"/>
              </w:rPr>
              <w:t>SIEM</w:t>
            </w:r>
          </w:p>
        </w:tc>
        <w:tc>
          <w:tcPr>
            <w:tcW w:type="dxa" w:w="7143"/>
            <w:vAlign w:val="center"/>
            <w:shd w:val="clear" w:color="auto" w:fill="F2F2F2"/>
          </w:tcPr>
          <w:p>
            <w:pPr>
              <w:spacing w:after="0"/>
            </w:pPr>
            <w:r/>
            <w:r>
              <w:rPr>
                <w:b w:val="0"/>
                <w:sz w:val="19"/>
              </w:rPr>
              <w:t>Security Information and Event Management</w:t>
            </w:r>
          </w:p>
        </w:tc>
      </w:tr>
      <w:tr>
        <w:tc>
          <w:tcPr>
            <w:tcW w:type="dxa" w:w="2268"/>
            <w:vAlign w:val="center"/>
          </w:tcPr>
          <w:p>
            <w:pPr>
              <w:spacing w:after="0"/>
            </w:pPr>
            <w:r/>
            <w:r>
              <w:rPr>
                <w:b w:val="0"/>
                <w:sz w:val="19"/>
              </w:rPr>
              <w:t>RPO / RTO</w:t>
            </w:r>
          </w:p>
        </w:tc>
        <w:tc>
          <w:tcPr>
            <w:tcW w:type="dxa" w:w="7143"/>
            <w:vAlign w:val="center"/>
          </w:tcPr>
          <w:p>
            <w:pPr>
              <w:spacing w:after="0"/>
            </w:pPr>
            <w:r/>
            <w:r>
              <w:rPr>
                <w:b w:val="0"/>
                <w:sz w:val="19"/>
              </w:rPr>
              <w:t>Recovery Point Objective / Recovery Time Objective</w:t>
            </w:r>
          </w:p>
        </w:tc>
      </w:tr>
      <w:tr>
        <w:tc>
          <w:tcPr>
            <w:tcW w:type="dxa" w:w="2268"/>
            <w:vAlign w:val="center"/>
            <w:shd w:val="clear" w:color="auto" w:fill="F2F2F2"/>
          </w:tcPr>
          <w:p>
            <w:pPr>
              <w:spacing w:after="0"/>
            </w:pPr>
            <w:r/>
            <w:r>
              <w:rPr>
                <w:b w:val="0"/>
                <w:sz w:val="19"/>
              </w:rPr>
              <w:t>UAT / SIT</w:t>
            </w:r>
          </w:p>
        </w:tc>
        <w:tc>
          <w:tcPr>
            <w:tcW w:type="dxa" w:w="7143"/>
            <w:vAlign w:val="center"/>
            <w:shd w:val="clear" w:color="auto" w:fill="F2F2F2"/>
          </w:tcPr>
          <w:p>
            <w:pPr>
              <w:spacing w:after="0"/>
            </w:pPr>
            <w:r/>
            <w:r>
              <w:rPr>
                <w:b w:val="0"/>
                <w:sz w:val="19"/>
              </w:rPr>
              <w:t>User Acceptance Testing / System Integration Testing</w:t>
            </w:r>
          </w:p>
        </w:tc>
      </w:tr>
      <w:tr>
        <w:tc>
          <w:tcPr>
            <w:tcW w:type="dxa" w:w="2268"/>
            <w:vAlign w:val="center"/>
          </w:tcPr>
          <w:p>
            <w:pPr>
              <w:spacing w:after="0"/>
            </w:pPr>
            <w:r/>
            <w:r>
              <w:rPr>
                <w:b w:val="0"/>
                <w:sz w:val="19"/>
              </w:rPr>
              <w:t>DPPA</w:t>
            </w:r>
          </w:p>
        </w:tc>
        <w:tc>
          <w:tcPr>
            <w:tcW w:type="dxa" w:w="7143"/>
            <w:vAlign w:val="center"/>
          </w:tcPr>
          <w:p>
            <w:pPr>
              <w:spacing w:after="0"/>
            </w:pPr>
            <w:r/>
            <w:r>
              <w:rPr>
                <w:b w:val="0"/>
                <w:sz w:val="19"/>
              </w:rPr>
              <w:t>Data Protection and Privacy Act</w:t>
            </w:r>
          </w:p>
        </w:tc>
      </w:tr>
      <w:tr>
        <w:tc>
          <w:tcPr>
            <w:tcW w:type="dxa" w:w="2268"/>
            <w:vAlign w:val="center"/>
            <w:shd w:val="clear" w:color="auto" w:fill="F2F2F2"/>
          </w:tcPr>
          <w:p>
            <w:pPr>
              <w:spacing w:after="0"/>
            </w:pPr>
            <w:r/>
            <w:r>
              <w:rPr>
                <w:b w:val="0"/>
                <w:sz w:val="19"/>
              </w:rPr>
              <w:t>GSS</w:t>
            </w:r>
          </w:p>
        </w:tc>
        <w:tc>
          <w:tcPr>
            <w:tcW w:type="dxa" w:w="7143"/>
            <w:vAlign w:val="center"/>
            <w:shd w:val="clear" w:color="auto" w:fill="F2F2F2"/>
          </w:tcPr>
          <w:p>
            <w:pPr>
              <w:spacing w:after="0"/>
            </w:pPr>
            <w:r/>
            <w:r>
              <w:rPr>
                <w:b w:val="0"/>
                <w:sz w:val="19"/>
              </w:rPr>
              <w:t>BoT Government Securities System</w:t>
            </w:r>
          </w:p>
        </w:tc>
      </w:tr>
      <w:tr>
        <w:tc>
          <w:tcPr>
            <w:tcW w:type="dxa" w:w="2268"/>
            <w:vAlign w:val="center"/>
          </w:tcPr>
          <w:p>
            <w:pPr>
              <w:spacing w:after="0"/>
            </w:pPr>
            <w:r/>
            <w:r>
              <w:rPr>
                <w:b w:val="0"/>
                <w:sz w:val="19"/>
              </w:rPr>
              <w:t>JWT</w:t>
            </w:r>
          </w:p>
        </w:tc>
        <w:tc>
          <w:tcPr>
            <w:tcW w:type="dxa" w:w="7143"/>
            <w:vAlign w:val="center"/>
          </w:tcPr>
          <w:p>
            <w:pPr>
              <w:spacing w:after="0"/>
            </w:pPr>
            <w:r/>
            <w:r>
              <w:rPr>
                <w:b w:val="0"/>
                <w:sz w:val="19"/>
              </w:rPr>
              <w:t>JSON Web Token</w:t>
            </w:r>
          </w:p>
        </w:tc>
      </w:tr>
      <w:tr>
        <w:tc>
          <w:tcPr>
            <w:tcW w:type="dxa" w:w="2268"/>
            <w:vAlign w:val="center"/>
            <w:shd w:val="clear" w:color="auto" w:fill="F2F2F2"/>
          </w:tcPr>
          <w:p>
            <w:pPr>
              <w:spacing w:after="0"/>
            </w:pPr>
            <w:r/>
            <w:r>
              <w:rPr>
                <w:b w:val="0"/>
                <w:sz w:val="19"/>
              </w:rPr>
              <w:t>Maker-checker</w:t>
            </w:r>
          </w:p>
        </w:tc>
        <w:tc>
          <w:tcPr>
            <w:tcW w:type="dxa" w:w="7143"/>
            <w:vAlign w:val="center"/>
            <w:shd w:val="clear" w:color="auto" w:fill="F2F2F2"/>
          </w:tcPr>
          <w:p>
            <w:pPr>
              <w:spacing w:after="0"/>
            </w:pPr>
            <w:r/>
            <w:r>
              <w:rPr>
                <w:b w:val="0"/>
                <w:sz w:val="19"/>
              </w:rPr>
              <w:t>Four-eyes control where one user initiates and another approves</w:t>
            </w:r>
          </w:p>
        </w:tc>
      </w:tr>
    </w:tbl>
    <w:p>
      <w:pPr>
        <w:spacing w:after="40"/>
      </w:pP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TCB internal  •  Page </w:t>
    </w:r>
    <w:r>
      <w:rPr>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F7F7F"/>
        <w:sz w:val="16"/>
      </w:rPr>
      <w:t>TCB – GovSec Platform | Technical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cs="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cs="Calibri" w:eastAsia="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cs="Calibri" w:eastAsia="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